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Wonders 2023</w:t>
      </w:r>
    </w:p>
    <w:tbl>
      <w:tblPr>
        <w:tblStyle w:val="Table1"/>
        <w:tblW w:w="132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5"/>
        <w:gridCol w:w="2520"/>
        <w:gridCol w:w="2490"/>
        <w:gridCol w:w="2430"/>
        <w:gridCol w:w="2385"/>
        <w:tblGridChange w:id="0">
          <w:tblGrid>
            <w:gridCol w:w="3465"/>
            <w:gridCol w:w="2520"/>
            <w:gridCol w:w="2490"/>
            <w:gridCol w:w="2430"/>
            <w:gridCol w:w="2385"/>
          </w:tblGrid>
        </w:tblGridChange>
      </w:tblGrid>
      <w:tr>
        <w:trPr>
          <w:cantSplit w:val="0"/>
          <w:trHeight w:val="680" w:hRule="atLeast"/>
          <w:tblHeader w:val="0"/>
        </w:trPr>
        <w:tc>
          <w:tcPr>
            <w:tcBorders>
              <w:top w:color="ffffff" w:space="0" w:sz="18" w:val="single"/>
              <w:left w:color="ffffff" w:space="0" w:sz="18" w:val="single"/>
              <w:bottom w:color="ffffff" w:space="0" w:sz="18" w:val="single"/>
              <w:right w:color="ffffff" w:space="0" w:sz="18" w:val="single"/>
            </w:tcBorders>
            <w:shd w:fill="db504a" w:val="clear"/>
            <w:tcMar>
              <w:top w:w="100.0" w:type="dxa"/>
              <w:left w:w="100.0" w:type="dxa"/>
              <w:bottom w:w="100.0" w:type="dxa"/>
              <w:right w:w="100.0" w:type="dxa"/>
            </w:tcMar>
          </w:tcPr>
          <w:p w:rsidR="00000000" w:rsidDel="00000000" w:rsidP="00000000" w:rsidRDefault="00000000" w:rsidRPr="00000000" w14:paraId="00000002">
            <w:pPr>
              <w:widowControl w:val="0"/>
              <w:spacing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sz w:val="44"/>
                <w:szCs w:val="44"/>
                <w:rtl w:val="0"/>
              </w:rPr>
              <w:t xml:space="preserve">Kindergarten</w:t>
            </w:r>
            <w:r w:rsidDel="00000000" w:rsidR="00000000" w:rsidRPr="00000000">
              <w:rPr>
                <w:rtl w:val="0"/>
              </w:rPr>
            </w:r>
          </w:p>
        </w:tc>
        <w:tc>
          <w:tcPr>
            <w:gridSpan w:val="4"/>
            <w:tcBorders>
              <w:top w:color="ffffff" w:space="0" w:sz="18" w:val="single"/>
              <w:left w:color="ffffff" w:space="0" w:sz="18" w:val="single"/>
              <w:bottom w:color="ffffff" w:space="0" w:sz="18" w:val="single"/>
              <w:right w:color="ffffff" w:space="0" w:sz="18" w:val="single"/>
            </w:tcBorders>
            <w:shd w:fill="db504a" w:val="clear"/>
          </w:tcPr>
          <w:p w:rsidR="00000000" w:rsidDel="00000000" w:rsidP="00000000" w:rsidRDefault="00000000" w:rsidRPr="00000000" w14:paraId="00000003">
            <w:pPr>
              <w:widowControl w:val="0"/>
              <w:spacing w:line="240" w:lineRule="auto"/>
              <w:jc w:val="center"/>
              <w:rPr>
                <w:rFonts w:ascii="Montserrat" w:cs="Montserrat" w:eastAsia="Montserrat" w:hAnsi="Montserrat"/>
                <w:b w:val="1"/>
                <w:color w:val="ffffff"/>
                <w:sz w:val="48"/>
                <w:szCs w:val="48"/>
              </w:rPr>
            </w:pPr>
            <w:r w:rsidDel="00000000" w:rsidR="00000000" w:rsidRPr="00000000">
              <w:rPr>
                <w:rFonts w:ascii="Montserrat" w:cs="Montserrat" w:eastAsia="Montserrat" w:hAnsi="Montserrat"/>
                <w:b w:val="1"/>
                <w:color w:val="ffffff"/>
                <w:sz w:val="48"/>
                <w:szCs w:val="48"/>
                <w:rtl w:val="0"/>
              </w:rPr>
              <w:t xml:space="preserve">YEAR AT A GLANCE</w:t>
            </w:r>
          </w:p>
        </w:tc>
      </w:tr>
      <w:tr>
        <w:trPr>
          <w:cantSplit w:val="0"/>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Avenir" w:cs="Avenir" w:eastAsia="Avenir" w:hAnsi="Aveni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2791d0"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Unit 1</w:t>
            </w:r>
          </w:p>
        </w:tc>
        <w:tc>
          <w:tcPr>
            <w:tcBorders>
              <w:top w:color="ffffff" w:space="0" w:sz="18" w:val="single"/>
              <w:left w:color="ffffff" w:space="0" w:sz="18" w:val="single"/>
              <w:bottom w:color="ffffff" w:space="0" w:sz="18" w:val="single"/>
              <w:right w:color="ffffff" w:space="0" w:sz="18" w:val="single"/>
            </w:tcBorders>
            <w:shd w:fill="fbae42"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Unit 2</w:t>
            </w:r>
          </w:p>
        </w:tc>
        <w:tc>
          <w:tcPr>
            <w:tcBorders>
              <w:top w:color="ffffff" w:space="0" w:sz="18" w:val="single"/>
              <w:left w:color="ffffff" w:space="0" w:sz="18" w:val="single"/>
              <w:bottom w:color="ffffff" w:space="0" w:sz="18" w:val="single"/>
              <w:right w:color="ffffff" w:space="0" w:sz="18" w:val="single"/>
            </w:tcBorders>
            <w:shd w:fill="8cb369"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Unit 3</w:t>
            </w:r>
          </w:p>
        </w:tc>
        <w:tc>
          <w:tcPr>
            <w:tcBorders>
              <w:top w:color="ffffff" w:space="0" w:sz="18" w:val="single"/>
              <w:left w:color="ffffff" w:space="0" w:sz="18" w:val="single"/>
              <w:bottom w:color="ffffff" w:space="0" w:sz="18" w:val="single"/>
              <w:right w:color="ffffff" w:space="0" w:sz="18" w:val="single"/>
            </w:tcBorders>
            <w:shd w:fill="3abfe8"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Unit 4</w:t>
            </w:r>
          </w:p>
        </w:tc>
      </w:tr>
      <w:tr>
        <w:trPr>
          <w:cantSplit w:val="0"/>
          <w:trHeight w:val="825"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0C">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Suggested Pacing</w:t>
            </w:r>
          </w:p>
        </w:tc>
        <w:tc>
          <w:tcPr>
            <w:tcBorders>
              <w:top w:color="ffffff" w:space="0" w:sz="18" w:val="single"/>
              <w:left w:color="ffffff" w:space="0" w:sz="18" w:val="single"/>
              <w:bottom w:color="ffffff" w:space="0" w:sz="18" w:val="single"/>
              <w:right w:color="ffffff" w:space="0" w:sz="18" w:val="single"/>
            </w:tcBorders>
            <w:shd w:fill="c9daf8" w:val="clear"/>
            <w:tcMar>
              <w:top w:w="100.0" w:type="dxa"/>
              <w:left w:w="100.0" w:type="dxa"/>
              <w:bottom w:w="100.0" w:type="dxa"/>
              <w:right w:w="100.0" w:type="dxa"/>
            </w:tcMar>
            <w:vAlign w:val="center"/>
          </w:tcPr>
          <w:p w:rsidR="00000000" w:rsidDel="00000000" w:rsidP="00000000" w:rsidRDefault="00000000" w:rsidRPr="00000000" w14:paraId="0000000D">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rtl w:val="0"/>
              </w:rPr>
              <w:t xml:space="preserve">Dates specific to district calendar</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rtl w:val="0"/>
              </w:rPr>
              <w:t xml:space="preserve">Dates specific to district calendar</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d9ead3" w:val="clear"/>
            <w:tcMar>
              <w:top w:w="100.0" w:type="dxa"/>
              <w:left w:w="100.0" w:type="dxa"/>
              <w:bottom w:w="100.0" w:type="dxa"/>
              <w:right w:w="100.0" w:type="dxa"/>
            </w:tcMar>
            <w:vAlign w:val="center"/>
          </w:tcPr>
          <w:p w:rsidR="00000000" w:rsidDel="00000000" w:rsidP="00000000" w:rsidRDefault="00000000" w:rsidRPr="00000000" w14:paraId="0000000F">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rtl w:val="0"/>
              </w:rPr>
              <w:t xml:space="preserve">Dates specific to district calendar</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fe2f3" w:val="clear"/>
            <w:tcMar>
              <w:top w:w="100.0" w:type="dxa"/>
              <w:left w:w="100.0" w:type="dxa"/>
              <w:bottom w:w="100.0" w:type="dxa"/>
              <w:right w:w="100.0" w:type="dxa"/>
            </w:tcMar>
            <w:vAlign w:val="center"/>
          </w:tcPr>
          <w:p w:rsidR="00000000" w:rsidDel="00000000" w:rsidP="00000000" w:rsidRDefault="00000000" w:rsidRPr="00000000" w14:paraId="00000010">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rtl w:val="0"/>
              </w:rPr>
              <w:t xml:space="preserve">Dates specific to district calendar</w:t>
            </w:r>
            <w:r w:rsidDel="00000000" w:rsidR="00000000" w:rsidRPr="00000000">
              <w:rPr>
                <w:rtl w:val="0"/>
              </w:rPr>
            </w:r>
          </w:p>
        </w:tc>
      </w:tr>
      <w:tr>
        <w:trPr>
          <w:cantSplit w:val="0"/>
          <w:trHeight w:val="1152"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Big Idea</w:t>
            </w:r>
          </w:p>
        </w:tc>
        <w:tc>
          <w:tcPr>
            <w:tcBorders>
              <w:top w:color="ffffff" w:space="0" w:sz="18" w:val="single"/>
              <w:left w:color="ffffff" w:space="0" w:sz="18" w:val="single"/>
              <w:bottom w:color="ffffff" w:space="0" w:sz="18" w:val="single"/>
              <w:right w:color="ffffff" w:space="0" w:sz="18" w:val="single"/>
            </w:tcBorders>
            <w:shd w:fill="c9daf8"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What can we learn when we try new things? </w:t>
            </w:r>
          </w:p>
        </w:tc>
        <w:tc>
          <w:tcPr>
            <w:tcBorders>
              <w:top w:color="ffffff" w:space="0" w:sz="18" w:val="single"/>
              <w:left w:color="ffffff" w:space="0" w:sz="18" w:val="single"/>
              <w:bottom w:color="ffffff" w:space="0" w:sz="18" w:val="single"/>
              <w:right w:color="ffffff" w:space="0" w:sz="18"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What can you find out when you explore? </w:t>
            </w:r>
          </w:p>
        </w:tc>
        <w:tc>
          <w:tcPr>
            <w:tcBorders>
              <w:top w:color="ffffff" w:space="0" w:sz="18" w:val="single"/>
              <w:left w:color="ffffff" w:space="0" w:sz="18" w:val="single"/>
              <w:bottom w:color="ffffff" w:space="0" w:sz="18" w:val="single"/>
              <w:right w:color="ffffff" w:space="0" w:sz="18" w:val="single"/>
            </w:tcBorders>
            <w:shd w:fill="d9ead3"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What can you learn by going to different places?  </w:t>
            </w:r>
          </w:p>
        </w:tc>
        <w:tc>
          <w:tcPr>
            <w:tcBorders>
              <w:top w:color="ffffff" w:space="0" w:sz="18" w:val="single"/>
              <w:left w:color="ffffff" w:space="0" w:sz="18" w:val="single"/>
              <w:bottom w:color="ffffff" w:space="0" w:sz="18" w:val="single"/>
              <w:right w:color="ffffff" w:space="0" w:sz="18" w:val="single"/>
            </w:tcBorders>
            <w:shd w:fill="cfe2f3"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What do you know about the people and the paces in your neighborhood? </w:t>
            </w:r>
          </w:p>
        </w:tc>
      </w:tr>
      <w:tr>
        <w:trPr>
          <w:cantSplit w:val="0"/>
          <w:trHeight w:val="1152"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Phonemic Awareness/Phonics</w:t>
            </w:r>
          </w:p>
        </w:tc>
        <w:tc>
          <w:tcPr>
            <w:tcBorders>
              <w:top w:color="ffffff" w:space="0" w:sz="18" w:val="single"/>
              <w:left w:color="ffffff" w:space="0" w:sz="18" w:val="single"/>
              <w:bottom w:color="ffffff" w:space="0" w:sz="18" w:val="single"/>
              <w:right w:color="ffffff" w:space="0" w:sz="18" w:val="single"/>
            </w:tcBorders>
            <w:shd w:fill="c9daf8"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Building Routines &amp; short a</w:t>
            </w:r>
          </w:p>
        </w:tc>
        <w:tc>
          <w:tcPr>
            <w:tcBorders>
              <w:top w:color="ffffff" w:space="0" w:sz="18" w:val="single"/>
              <w:left w:color="ffffff" w:space="0" w:sz="18" w:val="single"/>
              <w:bottom w:color="ffffff" w:space="0" w:sz="18" w:val="single"/>
              <w:right w:color="ffffff" w:space="0" w:sz="18"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Building Routines &amp; short a, short i</w:t>
            </w:r>
          </w:p>
        </w:tc>
        <w:tc>
          <w:tcPr>
            <w:tcBorders>
              <w:top w:color="ffffff" w:space="0" w:sz="18" w:val="single"/>
              <w:left w:color="ffffff" w:space="0" w:sz="18" w:val="single"/>
              <w:bottom w:color="ffffff" w:space="0" w:sz="18" w:val="single"/>
              <w:right w:color="ffffff" w:space="0" w:sz="18" w:val="single"/>
            </w:tcBorders>
            <w:shd w:fill="d9ead3"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Short i &amp; add short o</w:t>
            </w:r>
          </w:p>
        </w:tc>
        <w:tc>
          <w:tcPr>
            <w:tcBorders>
              <w:top w:color="ffffff" w:space="0" w:sz="18" w:val="single"/>
              <w:left w:color="ffffff" w:space="0" w:sz="18" w:val="single"/>
              <w:bottom w:color="ffffff" w:space="0" w:sz="18" w:val="single"/>
              <w:right w:color="ffffff" w:space="0" w:sz="18" w:val="single"/>
            </w:tcBorders>
            <w:shd w:fill="cfe2f3"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Add short i, add short o</w:t>
            </w:r>
          </w:p>
        </w:tc>
      </w:tr>
      <w:tr>
        <w:trPr>
          <w:cantSplit w:val="0"/>
          <w:trHeight w:val="1152"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Language Comprehension </w:t>
            </w:r>
          </w:p>
        </w:tc>
        <w:tc>
          <w:tcPr>
            <w:gridSpan w:val="4"/>
            <w:tcBorders>
              <w:top w:color="ffffff" w:space="0" w:sz="18" w:val="single"/>
              <w:left w:color="ffffff" w:space="0" w:sz="18" w:val="single"/>
              <w:bottom w:color="ffffff" w:space="0" w:sz="18" w:val="single"/>
              <w:right w:color="ffffff" w:space="0" w:sz="18" w:val="single"/>
            </w:tcBorders>
            <w:shd w:fill="efefef" w:val="clear"/>
            <w:vAlign w:val="center"/>
          </w:tcPr>
          <w:p w:rsidR="00000000" w:rsidDel="00000000" w:rsidP="00000000" w:rsidRDefault="00000000" w:rsidRPr="00000000" w14:paraId="0000001C">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Although standard(s) might be targeted for mastery in the scope and sequence, additional comprehension standards are embedded while teaching close reading within Wonders. Scaffolding text with repeated reading, discussion and writing is vital in order for students to comprehend text. The reading standards are like a path that guides students through multiple encounters with text, which students will respond through writing. </w:t>
            </w:r>
          </w:p>
          <w:p w:rsidR="00000000" w:rsidDel="00000000" w:rsidP="00000000" w:rsidRDefault="00000000" w:rsidRPr="00000000" w14:paraId="0000001D">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Reading Standards 1-3 take the student through “what does the text say?” </w:t>
            </w:r>
          </w:p>
          <w:p w:rsidR="00000000" w:rsidDel="00000000" w:rsidP="00000000" w:rsidRDefault="00000000" w:rsidRPr="00000000" w14:paraId="0000001E">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Reading Standards 4-6 guide the student through “how does the text work?” </w:t>
            </w:r>
          </w:p>
          <w:p w:rsidR="00000000" w:rsidDel="00000000" w:rsidP="00000000" w:rsidRDefault="00000000" w:rsidRPr="00000000" w14:paraId="0000001F">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Reading Standards 7-9 take the student through “what does the text mean?”</w:t>
            </w:r>
          </w:p>
          <w:p w:rsidR="00000000" w:rsidDel="00000000" w:rsidP="00000000" w:rsidRDefault="00000000" w:rsidRPr="00000000" w14:paraId="00000020">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Writing Standards 1-3 Opinion, Inform/Explain, Narrate responding to text. (Fisher, Frey 2014) </w:t>
            </w:r>
          </w:p>
        </w:tc>
      </w:tr>
      <w:tr>
        <w:trPr>
          <w:cantSplit w:val="0"/>
          <w:trHeight w:val="773.9999999999999"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Extended Writing Focus</w:t>
            </w:r>
          </w:p>
          <w:p w:rsidR="00000000" w:rsidDel="00000000" w:rsidP="00000000" w:rsidRDefault="00000000" w:rsidRPr="00000000" w14:paraId="00000025">
            <w:pPr>
              <w:widowControl w:val="0"/>
              <w:spacing w:line="240" w:lineRule="auto"/>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½ Day: Optional </w:t>
            </w:r>
          </w:p>
          <w:p w:rsidR="00000000" w:rsidDel="00000000" w:rsidP="00000000" w:rsidRDefault="00000000" w:rsidRPr="00000000" w14:paraId="00000026">
            <w:pPr>
              <w:widowControl w:val="0"/>
              <w:spacing w:line="240" w:lineRule="auto"/>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Full Day: Required </w:t>
            </w:r>
          </w:p>
        </w:tc>
        <w:tc>
          <w:tcPr>
            <w:tcBorders>
              <w:top w:color="ffffff" w:space="0" w:sz="18" w:val="single"/>
              <w:left w:color="ffffff" w:space="0" w:sz="18" w:val="single"/>
              <w:bottom w:color="ffffff" w:space="0" w:sz="18" w:val="single"/>
              <w:right w:color="ffffff" w:space="0" w:sz="18" w:val="single"/>
            </w:tcBorders>
            <w:shd w:fill="c9daf8"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NA</w:t>
            </w:r>
          </w:p>
        </w:tc>
        <w:tc>
          <w:tcPr>
            <w:tcBorders>
              <w:top w:color="ffffff" w:space="0" w:sz="18" w:val="single"/>
              <w:left w:color="ffffff" w:space="0" w:sz="18" w:val="single"/>
              <w:bottom w:color="ffffff" w:space="0" w:sz="18" w:val="single"/>
              <w:right w:color="ffffff" w:space="0" w:sz="18"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Unit 2 Week 2 </w:t>
            </w:r>
          </w:p>
          <w:p w:rsidR="00000000" w:rsidDel="00000000" w:rsidP="00000000" w:rsidRDefault="00000000" w:rsidRPr="00000000" w14:paraId="00000029">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Expository</w:t>
            </w:r>
          </w:p>
        </w:tc>
        <w:tc>
          <w:tcPr>
            <w:tcBorders>
              <w:top w:color="ffffff" w:space="0" w:sz="18" w:val="single"/>
              <w:left w:color="ffffff" w:space="0" w:sz="18" w:val="single"/>
              <w:bottom w:color="ffffff" w:space="0" w:sz="18" w:val="single"/>
              <w:right w:color="ffffff" w:space="0" w:sz="18" w:val="single"/>
            </w:tcBorders>
            <w:shd w:fill="d9ead3"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NA</w:t>
            </w:r>
          </w:p>
        </w:tc>
        <w:tc>
          <w:tcPr>
            <w:tcBorders>
              <w:top w:color="ffffff" w:space="0" w:sz="18" w:val="single"/>
              <w:left w:color="ffffff" w:space="0" w:sz="18" w:val="single"/>
              <w:bottom w:color="ffffff" w:space="0" w:sz="18" w:val="single"/>
              <w:right w:color="ffffff" w:space="0" w:sz="18" w:val="single"/>
            </w:tcBorders>
            <w:shd w:fill="cfe2f3"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Unit 4 Week 2</w:t>
            </w:r>
          </w:p>
          <w:p w:rsidR="00000000" w:rsidDel="00000000" w:rsidP="00000000" w:rsidRDefault="00000000" w:rsidRPr="00000000" w14:paraId="0000002C">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Narrative</w:t>
            </w:r>
          </w:p>
        </w:tc>
      </w:tr>
      <w:tr>
        <w:trPr>
          <w:cantSplit w:val="0"/>
          <w:trHeight w:val="1350"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Key Language Use</w:t>
            </w:r>
          </w:p>
        </w:tc>
        <w:tc>
          <w:tcPr>
            <w:tcBorders>
              <w:top w:color="ffffff" w:space="0" w:sz="18" w:val="single"/>
              <w:left w:color="ffffff" w:space="0" w:sz="18" w:val="single"/>
              <w:bottom w:color="ffffff" w:space="0" w:sz="18" w:val="single"/>
              <w:right w:color="ffffff" w:space="0" w:sz="18" w:val="single"/>
            </w:tcBorders>
            <w:shd w:fill="c9daf8"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Inform/Explain</w:t>
            </w:r>
          </w:p>
        </w:tc>
        <w:tc>
          <w:tcPr>
            <w:tcBorders>
              <w:top w:color="ffffff" w:space="0" w:sz="18" w:val="single"/>
              <w:left w:color="ffffff" w:space="0" w:sz="18" w:val="single"/>
              <w:bottom w:color="ffffff" w:space="0" w:sz="18" w:val="single"/>
              <w:right w:color="ffffff" w:space="0" w:sz="18"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Inform/Explain</w:t>
            </w:r>
          </w:p>
        </w:tc>
        <w:tc>
          <w:tcPr>
            <w:tcBorders>
              <w:top w:color="ffffff" w:space="0" w:sz="18" w:val="single"/>
              <w:left w:color="ffffff" w:space="0" w:sz="18" w:val="single"/>
              <w:bottom w:color="ffffff" w:space="0" w:sz="18" w:val="single"/>
              <w:right w:color="ffffff" w:space="0" w:sz="18" w:val="single"/>
            </w:tcBorders>
            <w:shd w:fill="d9ead3"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Inform/Explain</w:t>
            </w:r>
          </w:p>
        </w:tc>
        <w:tc>
          <w:tcPr>
            <w:tcBorders>
              <w:top w:color="ffffff" w:space="0" w:sz="18" w:val="single"/>
              <w:left w:color="ffffff" w:space="0" w:sz="18" w:val="single"/>
              <w:bottom w:color="ffffff" w:space="0" w:sz="18" w:val="single"/>
              <w:right w:color="ffffff" w:space="0" w:sz="18" w:val="single"/>
            </w:tcBorders>
            <w:shd w:fill="cfe2f3"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Narrate</w:t>
            </w:r>
          </w:p>
        </w:tc>
      </w:tr>
    </w:tbl>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2"/>
        <w:tblW w:w="133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2550"/>
        <w:gridCol w:w="2475"/>
        <w:gridCol w:w="2520"/>
        <w:gridCol w:w="2430"/>
        <w:tblGridChange w:id="0">
          <w:tblGrid>
            <w:gridCol w:w="3390"/>
            <w:gridCol w:w="2550"/>
            <w:gridCol w:w="2475"/>
            <w:gridCol w:w="2520"/>
            <w:gridCol w:w="2430"/>
          </w:tblGrid>
        </w:tblGridChange>
      </w:tblGrid>
      <w:tr>
        <w:trPr>
          <w:cantSplit w:val="0"/>
          <w:trHeight w:val="680" w:hRule="atLeast"/>
          <w:tblHeader w:val="0"/>
        </w:trPr>
        <w:tc>
          <w:tcPr>
            <w:tcBorders>
              <w:top w:color="ffffff" w:space="0" w:sz="18" w:val="single"/>
              <w:left w:color="ffffff" w:space="0" w:sz="18" w:val="single"/>
              <w:bottom w:color="ffffff" w:space="0" w:sz="18" w:val="single"/>
              <w:right w:color="ffffff" w:space="0" w:sz="18" w:val="single"/>
            </w:tcBorders>
            <w:shd w:fill="db504a"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jc w:val="center"/>
              <w:rPr>
                <w:rFonts w:ascii="Montserrat" w:cs="Montserrat" w:eastAsia="Montserrat" w:hAnsi="Montserrat"/>
                <w:b w:val="1"/>
                <w:color w:val="ffffff"/>
                <w:sz w:val="18"/>
                <w:szCs w:val="18"/>
              </w:rPr>
            </w:pPr>
            <w:r w:rsidDel="00000000" w:rsidR="00000000" w:rsidRPr="00000000">
              <w:rPr>
                <w:rFonts w:ascii="Montserrat" w:cs="Montserrat" w:eastAsia="Montserrat" w:hAnsi="Montserrat"/>
                <w:b w:val="1"/>
                <w:color w:val="ffffff"/>
                <w:sz w:val="44"/>
                <w:szCs w:val="44"/>
                <w:rtl w:val="0"/>
              </w:rPr>
              <w:t xml:space="preserve">Kindergarten</w:t>
            </w:r>
            <w:r w:rsidDel="00000000" w:rsidR="00000000" w:rsidRPr="00000000">
              <w:rPr>
                <w:rtl w:val="0"/>
              </w:rPr>
            </w:r>
          </w:p>
        </w:tc>
        <w:tc>
          <w:tcPr>
            <w:gridSpan w:val="4"/>
            <w:tcBorders>
              <w:top w:color="ffffff" w:space="0" w:sz="18" w:val="single"/>
              <w:left w:color="ffffff" w:space="0" w:sz="18" w:val="single"/>
              <w:bottom w:color="ffffff" w:space="0" w:sz="18" w:val="single"/>
              <w:right w:color="ffffff" w:space="0" w:sz="18" w:val="single"/>
            </w:tcBorders>
            <w:shd w:fill="db504a" w:val="clear"/>
          </w:tcPr>
          <w:p w:rsidR="00000000" w:rsidDel="00000000" w:rsidP="00000000" w:rsidRDefault="00000000" w:rsidRPr="00000000" w14:paraId="00000038">
            <w:pPr>
              <w:widowControl w:val="0"/>
              <w:spacing w:line="240" w:lineRule="auto"/>
              <w:jc w:val="center"/>
              <w:rPr>
                <w:rFonts w:ascii="Montserrat" w:cs="Montserrat" w:eastAsia="Montserrat" w:hAnsi="Montserrat"/>
                <w:b w:val="1"/>
                <w:color w:val="ffffff"/>
                <w:sz w:val="48"/>
                <w:szCs w:val="48"/>
              </w:rPr>
            </w:pPr>
            <w:r w:rsidDel="00000000" w:rsidR="00000000" w:rsidRPr="00000000">
              <w:rPr>
                <w:rFonts w:ascii="Montserrat" w:cs="Montserrat" w:eastAsia="Montserrat" w:hAnsi="Montserrat"/>
                <w:b w:val="1"/>
                <w:color w:val="ffffff"/>
                <w:sz w:val="48"/>
                <w:szCs w:val="48"/>
                <w:rtl w:val="0"/>
              </w:rPr>
              <w:t xml:space="preserve">YEAR AT A GLANCE</w:t>
            </w:r>
          </w:p>
        </w:tc>
      </w:tr>
      <w:tr>
        <w:trPr>
          <w:cantSplit w:val="0"/>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Avenir" w:cs="Avenir" w:eastAsia="Avenir" w:hAnsi="Aveni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8b95c9"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Unit 5</w:t>
            </w:r>
          </w:p>
        </w:tc>
        <w:tc>
          <w:tcPr>
            <w:tcBorders>
              <w:top w:color="ffffff" w:space="0" w:sz="18" w:val="single"/>
              <w:left w:color="ffffff" w:space="0" w:sz="18" w:val="single"/>
              <w:bottom w:color="ffffff" w:space="0" w:sz="18" w:val="single"/>
              <w:right w:color="ffffff" w:space="0" w:sz="18" w:val="single"/>
            </w:tcBorders>
            <w:shd w:fill="ffe061"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Unit 6</w:t>
            </w:r>
          </w:p>
        </w:tc>
        <w:tc>
          <w:tcPr>
            <w:tcBorders>
              <w:top w:color="ffffff" w:space="0" w:sz="18" w:val="single"/>
              <w:left w:color="ffffff" w:space="0" w:sz="18" w:val="single"/>
              <w:bottom w:color="ffffff" w:space="0" w:sz="18" w:val="single"/>
              <w:right w:color="ffffff" w:space="0" w:sz="18" w:val="single"/>
            </w:tcBorders>
            <w:shd w:fill="2791d0"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Unit 7</w:t>
            </w:r>
          </w:p>
        </w:tc>
        <w:tc>
          <w:tcPr>
            <w:tcBorders>
              <w:top w:color="ffffff" w:space="0" w:sz="18" w:val="single"/>
              <w:left w:color="ffffff" w:space="0" w:sz="18" w:val="single"/>
              <w:bottom w:color="ffffff" w:space="0" w:sz="18" w:val="single"/>
              <w:right w:color="ffffff" w:space="0" w:sz="18" w:val="single"/>
            </w:tcBorders>
            <w:shd w:fill="fbae42"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Unit 8</w:t>
            </w:r>
          </w:p>
        </w:tc>
      </w:tr>
      <w:tr>
        <w:trPr>
          <w:cantSplit w:val="0"/>
          <w:trHeight w:val="825"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Suggested Pacing</w:t>
            </w:r>
          </w:p>
        </w:tc>
        <w:tc>
          <w:tcPr>
            <w:tcBorders>
              <w:top w:color="ffffff" w:space="0" w:sz="18" w:val="single"/>
              <w:left w:color="ffffff" w:space="0" w:sz="18" w:val="single"/>
              <w:bottom w:color="ffffff" w:space="0" w:sz="18" w:val="single"/>
              <w:right w:color="ffffff" w:space="0" w:sz="18" w:val="single"/>
            </w:tcBorders>
            <w:shd w:fill="d9d2e9"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rtl w:val="0"/>
              </w:rPr>
              <w:t xml:space="preserve">Dates specific to district calendar</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fff2cc"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rtl w:val="0"/>
              </w:rPr>
              <w:t xml:space="preserve">Dates specific to district calendar</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9daf8"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rtl w:val="0"/>
              </w:rPr>
              <w:t xml:space="preserve">Dates specific to district calendar</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rtl w:val="0"/>
              </w:rPr>
              <w:t xml:space="preserve">Dates specific to district calendar</w:t>
            </w:r>
            <w:r w:rsidDel="00000000" w:rsidR="00000000" w:rsidRPr="00000000">
              <w:rPr>
                <w:rtl w:val="0"/>
              </w:rPr>
            </w:r>
          </w:p>
        </w:tc>
      </w:tr>
      <w:tr>
        <w:trPr>
          <w:cantSplit w:val="0"/>
          <w:trHeight w:val="1152"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Big Idea</w:t>
            </w:r>
          </w:p>
        </w:tc>
        <w:tc>
          <w:tcPr>
            <w:tcBorders>
              <w:top w:color="ffffff" w:space="0" w:sz="18" w:val="single"/>
              <w:left w:color="ffffff" w:space="0" w:sz="18" w:val="single"/>
              <w:bottom w:color="ffffff" w:space="0" w:sz="18" w:val="single"/>
              <w:right w:color="ffffff" w:space="0" w:sz="18" w:val="single"/>
            </w:tcBorders>
            <w:shd w:fill="d9d2e9"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What kinds of things can you find growing in nature?</w:t>
            </w:r>
          </w:p>
        </w:tc>
        <w:tc>
          <w:tcPr>
            <w:tcBorders>
              <w:top w:color="ffffff" w:space="0" w:sz="18" w:val="single"/>
              <w:left w:color="ffffff" w:space="0" w:sz="18" w:val="single"/>
              <w:bottom w:color="ffffff" w:space="0" w:sz="18" w:val="single"/>
              <w:right w:color="ffffff" w:space="0" w:sz="18" w:val="single"/>
            </w:tcBorders>
            <w:shd w:fill="fff2cc"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How do weather and seasons affect us? </w:t>
            </w:r>
          </w:p>
        </w:tc>
        <w:tc>
          <w:tcPr>
            <w:tcBorders>
              <w:top w:color="ffffff" w:space="0" w:sz="18" w:val="single"/>
              <w:left w:color="ffffff" w:space="0" w:sz="18" w:val="single"/>
              <w:bottom w:color="ffffff" w:space="0" w:sz="18" w:val="single"/>
              <w:right w:color="ffffff" w:space="0" w:sz="18" w:val="single"/>
            </w:tcBorders>
            <w:shd w:fill="c9daf8"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What are different kinds of animals?</w:t>
            </w:r>
          </w:p>
        </w:tc>
        <w:tc>
          <w:tcPr>
            <w:tcBorders>
              <w:top w:color="ffffff" w:space="0" w:sz="18" w:val="single"/>
              <w:left w:color="ffffff" w:space="0" w:sz="18" w:val="single"/>
              <w:bottom w:color="ffffff" w:space="0" w:sz="18" w:val="single"/>
              <w:right w:color="ffffff" w:space="0" w:sz="18"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Where can you go that is far and near?</w:t>
            </w:r>
          </w:p>
        </w:tc>
      </w:tr>
      <w:tr>
        <w:trPr>
          <w:cantSplit w:val="0"/>
          <w:trHeight w:val="1152"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Phonemics Awareness/Phonics</w:t>
            </w:r>
          </w:p>
        </w:tc>
        <w:tc>
          <w:tcPr>
            <w:tcBorders>
              <w:top w:color="ffffff" w:space="0" w:sz="18" w:val="single"/>
              <w:left w:color="ffffff" w:space="0" w:sz="18" w:val="single"/>
              <w:bottom w:color="ffffff" w:space="0" w:sz="18" w:val="single"/>
              <w:right w:color="ffffff" w:space="0" w:sz="18" w:val="single"/>
            </w:tcBorders>
            <w:shd w:fill="d9d2e9"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add short e &amp; u, Short vowel review</w:t>
            </w:r>
          </w:p>
        </w:tc>
        <w:tc>
          <w:tcPr>
            <w:tcBorders>
              <w:top w:color="ffffff" w:space="0" w:sz="18" w:val="single"/>
              <w:left w:color="ffffff" w:space="0" w:sz="18" w:val="single"/>
              <w:bottom w:color="ffffff" w:space="0" w:sz="18" w:val="single"/>
              <w:right w:color="ffffff" w:space="0" w:sz="18" w:val="single"/>
            </w:tcBorders>
            <w:shd w:fill="fff2cc"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Short vowel review, Introduction of Long Vowel Silent-e</w:t>
            </w:r>
          </w:p>
        </w:tc>
        <w:tc>
          <w:tcPr>
            <w:tcBorders>
              <w:top w:color="ffffff" w:space="0" w:sz="18" w:val="single"/>
              <w:left w:color="ffffff" w:space="0" w:sz="18" w:val="single"/>
              <w:bottom w:color="ffffff" w:space="0" w:sz="18" w:val="single"/>
              <w:right w:color="ffffff" w:space="0" w:sz="18" w:val="single"/>
            </w:tcBorders>
            <w:shd w:fill="c9daf8"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Short vowel review, Introduction of Long Vowel Silent-e</w:t>
            </w:r>
          </w:p>
        </w:tc>
        <w:tc>
          <w:tcPr>
            <w:tcBorders>
              <w:top w:color="ffffff" w:space="0" w:sz="18" w:val="single"/>
              <w:left w:color="ffffff" w:space="0" w:sz="18" w:val="single"/>
              <w:bottom w:color="ffffff" w:space="0" w:sz="18" w:val="single"/>
              <w:right w:color="ffffff" w:space="0" w:sz="18"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Short vowel review, Introduction of Long Vowel Silent-e</w:t>
            </w:r>
          </w:p>
        </w:tc>
      </w:tr>
      <w:tr>
        <w:trPr>
          <w:cantSplit w:val="0"/>
          <w:trHeight w:val="1152"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Language Comprehension </w:t>
            </w:r>
          </w:p>
        </w:tc>
        <w:tc>
          <w:tcPr>
            <w:gridSpan w:val="4"/>
            <w:tcBorders>
              <w:top w:color="ffffff" w:space="0" w:sz="18" w:val="single"/>
              <w:left w:color="ffffff" w:space="0" w:sz="18" w:val="single"/>
              <w:bottom w:color="ffffff" w:space="0" w:sz="18" w:val="single"/>
              <w:right w:color="ffffff" w:space="0" w:sz="18" w:val="single"/>
            </w:tcBorders>
            <w:shd w:fill="efefef" w:val="clear"/>
            <w:vAlign w:val="center"/>
          </w:tcPr>
          <w:p w:rsidR="00000000" w:rsidDel="00000000" w:rsidP="00000000" w:rsidRDefault="00000000" w:rsidRPr="00000000" w14:paraId="00000051">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Although standard(s) might be targeted for mastery in the scope and sequence, additional comprehension standards are embedded while teaching close reading within Wonders. Scaffolding text with repeated reading, discussion and writing is vital in order for students to comprehend text. The reading standards are like a path that guides students through multiple encounters with text, which students will respond through writing. </w:t>
            </w:r>
          </w:p>
          <w:p w:rsidR="00000000" w:rsidDel="00000000" w:rsidP="00000000" w:rsidRDefault="00000000" w:rsidRPr="00000000" w14:paraId="00000052">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Reading Standards 1-3 take the student through “what does the text say?” </w:t>
            </w:r>
          </w:p>
          <w:p w:rsidR="00000000" w:rsidDel="00000000" w:rsidP="00000000" w:rsidRDefault="00000000" w:rsidRPr="00000000" w14:paraId="00000053">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Reading Standards 4-6 guide the student through “how does the text work?” </w:t>
            </w:r>
          </w:p>
          <w:p w:rsidR="00000000" w:rsidDel="00000000" w:rsidP="00000000" w:rsidRDefault="00000000" w:rsidRPr="00000000" w14:paraId="00000054">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Reading Standards 7-9 take the student through “what does the text mean?”</w:t>
            </w:r>
          </w:p>
          <w:p w:rsidR="00000000" w:rsidDel="00000000" w:rsidP="00000000" w:rsidRDefault="00000000" w:rsidRPr="00000000" w14:paraId="00000055">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Writing Standards 1-3 Opinion, Inform/Explain, Narrate responding to text. (Fisher, Frey 2014) </w:t>
            </w:r>
          </w:p>
        </w:tc>
      </w:tr>
      <w:tr>
        <w:trPr>
          <w:cantSplit w:val="0"/>
          <w:trHeight w:val="773.9999999999999"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Extended Writing Focus</w:t>
            </w:r>
          </w:p>
          <w:p w:rsidR="00000000" w:rsidDel="00000000" w:rsidP="00000000" w:rsidRDefault="00000000" w:rsidRPr="00000000" w14:paraId="0000005A">
            <w:pPr>
              <w:widowControl w:val="0"/>
              <w:spacing w:line="240" w:lineRule="auto"/>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½ Day: Optional </w:t>
            </w:r>
          </w:p>
          <w:p w:rsidR="00000000" w:rsidDel="00000000" w:rsidP="00000000" w:rsidRDefault="00000000" w:rsidRPr="00000000" w14:paraId="0000005B">
            <w:pPr>
              <w:widowControl w:val="0"/>
              <w:spacing w:line="240" w:lineRule="auto"/>
              <w:jc w:val="center"/>
              <w:rPr>
                <w:rFonts w:ascii="Avenir" w:cs="Avenir" w:eastAsia="Avenir" w:hAnsi="Avenir"/>
              </w:rPr>
            </w:pPr>
            <w:r w:rsidDel="00000000" w:rsidR="00000000" w:rsidRPr="00000000">
              <w:rPr>
                <w:rFonts w:ascii="Avenir" w:cs="Avenir" w:eastAsia="Avenir" w:hAnsi="Avenir"/>
                <w:sz w:val="18"/>
                <w:szCs w:val="18"/>
                <w:rtl w:val="0"/>
              </w:rPr>
              <w:t xml:space="preserve">Full Day: Required </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d9d2e9"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NA</w:t>
            </w:r>
          </w:p>
        </w:tc>
        <w:tc>
          <w:tcPr>
            <w:tcBorders>
              <w:top w:color="ffffff" w:space="0" w:sz="18" w:val="single"/>
              <w:left w:color="ffffff" w:space="0" w:sz="18" w:val="single"/>
              <w:bottom w:color="ffffff" w:space="0" w:sz="18" w:val="single"/>
              <w:right w:color="ffffff" w:space="0" w:sz="18" w:val="single"/>
            </w:tcBorders>
            <w:shd w:fill="fff2cc"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Unit 6 Week 3</w:t>
            </w:r>
          </w:p>
          <w:p w:rsidR="00000000" w:rsidDel="00000000" w:rsidP="00000000" w:rsidRDefault="00000000" w:rsidRPr="00000000" w14:paraId="0000005E">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Narrative </w:t>
            </w:r>
          </w:p>
        </w:tc>
        <w:tc>
          <w:tcPr>
            <w:tcBorders>
              <w:top w:color="ffffff" w:space="0" w:sz="18" w:val="single"/>
              <w:left w:color="ffffff" w:space="0" w:sz="18" w:val="single"/>
              <w:bottom w:color="ffffff" w:space="0" w:sz="18" w:val="single"/>
              <w:right w:color="ffffff" w:space="0" w:sz="18" w:val="single"/>
            </w:tcBorders>
            <w:shd w:fill="c9daf8"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NA</w:t>
            </w:r>
          </w:p>
        </w:tc>
        <w:tc>
          <w:tcPr>
            <w:tcBorders>
              <w:top w:color="ffffff" w:space="0" w:sz="18" w:val="single"/>
              <w:left w:color="ffffff" w:space="0" w:sz="18" w:val="single"/>
              <w:bottom w:color="ffffff" w:space="0" w:sz="18" w:val="single"/>
              <w:right w:color="ffffff" w:space="0" w:sz="18"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Unit 8 Week 3 </w:t>
            </w:r>
          </w:p>
          <w:p w:rsidR="00000000" w:rsidDel="00000000" w:rsidP="00000000" w:rsidRDefault="00000000" w:rsidRPr="00000000" w14:paraId="00000061">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Narrative </w:t>
            </w:r>
          </w:p>
        </w:tc>
      </w:tr>
      <w:tr>
        <w:trPr>
          <w:cantSplit w:val="0"/>
          <w:trHeight w:val="1350"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Key Language Use</w:t>
            </w:r>
          </w:p>
        </w:tc>
        <w:tc>
          <w:tcPr>
            <w:tcBorders>
              <w:top w:color="ffffff" w:space="0" w:sz="18" w:val="single"/>
              <w:left w:color="ffffff" w:space="0" w:sz="18" w:val="single"/>
              <w:bottom w:color="ffffff" w:space="0" w:sz="18" w:val="single"/>
              <w:right w:color="ffffff" w:space="0" w:sz="18" w:val="single"/>
            </w:tcBorders>
            <w:shd w:fill="d9d2e9"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Argue</w:t>
            </w:r>
          </w:p>
        </w:tc>
        <w:tc>
          <w:tcPr>
            <w:tcBorders>
              <w:top w:color="ffffff" w:space="0" w:sz="18" w:val="single"/>
              <w:left w:color="ffffff" w:space="0" w:sz="18" w:val="single"/>
              <w:bottom w:color="ffffff" w:space="0" w:sz="18" w:val="single"/>
              <w:right w:color="ffffff" w:space="0" w:sz="18" w:val="single"/>
            </w:tcBorders>
            <w:shd w:fill="fff2cc"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Narrate</w:t>
            </w:r>
          </w:p>
        </w:tc>
        <w:tc>
          <w:tcPr>
            <w:tcBorders>
              <w:top w:color="ffffff" w:space="0" w:sz="18" w:val="single"/>
              <w:left w:color="ffffff" w:space="0" w:sz="18" w:val="single"/>
              <w:bottom w:color="ffffff" w:space="0" w:sz="18" w:val="single"/>
              <w:right w:color="ffffff" w:space="0" w:sz="18" w:val="single"/>
            </w:tcBorders>
            <w:shd w:fill="c9daf8"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Inform/Explain</w:t>
            </w:r>
          </w:p>
        </w:tc>
        <w:tc>
          <w:tcPr>
            <w:tcBorders>
              <w:top w:color="ffffff" w:space="0" w:sz="18" w:val="single"/>
              <w:left w:color="ffffff" w:space="0" w:sz="18" w:val="single"/>
              <w:bottom w:color="ffffff" w:space="0" w:sz="18" w:val="single"/>
              <w:right w:color="ffffff" w:space="0" w:sz="18" w:val="single"/>
            </w:tcBorders>
            <w:shd w:fill="fce5cd"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Narrate</w:t>
            </w:r>
          </w:p>
        </w:tc>
      </w:tr>
    </w:tbl>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tbl>
      <w:tblPr>
        <w:tblStyle w:val="Table3"/>
        <w:tblW w:w="130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4590"/>
        <w:gridCol w:w="5070"/>
        <w:tblGridChange w:id="0">
          <w:tblGrid>
            <w:gridCol w:w="3390"/>
            <w:gridCol w:w="4590"/>
            <w:gridCol w:w="5070"/>
          </w:tblGrid>
        </w:tblGridChange>
      </w:tblGrid>
      <w:tr>
        <w:trPr>
          <w:cantSplit w:val="0"/>
          <w:trHeight w:val="680" w:hRule="atLeast"/>
          <w:tblHeader w:val="0"/>
        </w:trPr>
        <w:tc>
          <w:tcPr>
            <w:tcBorders>
              <w:top w:color="ffffff" w:space="0" w:sz="18" w:val="single"/>
              <w:left w:color="ffffff" w:space="0" w:sz="18" w:val="single"/>
              <w:bottom w:color="ffffff" w:space="0" w:sz="18" w:val="single"/>
              <w:right w:color="ffffff" w:space="0" w:sz="18" w:val="single"/>
            </w:tcBorders>
            <w:shd w:fill="db504a"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jc w:val="center"/>
              <w:rPr>
                <w:rFonts w:ascii="Montserrat" w:cs="Montserrat" w:eastAsia="Montserrat" w:hAnsi="Montserrat"/>
                <w:b w:val="1"/>
                <w:color w:val="ffffff"/>
                <w:sz w:val="18"/>
                <w:szCs w:val="18"/>
              </w:rPr>
            </w:pPr>
            <w:r w:rsidDel="00000000" w:rsidR="00000000" w:rsidRPr="00000000">
              <w:rPr>
                <w:rFonts w:ascii="Montserrat" w:cs="Montserrat" w:eastAsia="Montserrat" w:hAnsi="Montserrat"/>
                <w:b w:val="1"/>
                <w:color w:val="ffffff"/>
                <w:sz w:val="44"/>
                <w:szCs w:val="44"/>
                <w:rtl w:val="0"/>
              </w:rPr>
              <w:t xml:space="preserve">Kindergarten</w:t>
            </w:r>
            <w:r w:rsidDel="00000000" w:rsidR="00000000" w:rsidRPr="00000000">
              <w:rPr>
                <w:rtl w:val="0"/>
              </w:rPr>
            </w:r>
          </w:p>
        </w:tc>
        <w:tc>
          <w:tcPr>
            <w:gridSpan w:val="2"/>
            <w:tcBorders>
              <w:top w:color="ffffff" w:space="0" w:sz="18" w:val="single"/>
              <w:left w:color="ffffff" w:space="0" w:sz="18" w:val="single"/>
              <w:bottom w:color="ffffff" w:space="0" w:sz="18" w:val="single"/>
              <w:right w:color="ffffff" w:space="0" w:sz="18" w:val="single"/>
            </w:tcBorders>
            <w:shd w:fill="db504a" w:val="clear"/>
          </w:tcPr>
          <w:p w:rsidR="00000000" w:rsidDel="00000000" w:rsidP="00000000" w:rsidRDefault="00000000" w:rsidRPr="00000000" w14:paraId="0000006D">
            <w:pPr>
              <w:widowControl w:val="0"/>
              <w:spacing w:line="240" w:lineRule="auto"/>
              <w:jc w:val="center"/>
              <w:rPr>
                <w:rFonts w:ascii="Montserrat" w:cs="Montserrat" w:eastAsia="Montserrat" w:hAnsi="Montserrat"/>
                <w:b w:val="1"/>
                <w:color w:val="ffffff"/>
                <w:sz w:val="48"/>
                <w:szCs w:val="48"/>
              </w:rPr>
            </w:pPr>
            <w:r w:rsidDel="00000000" w:rsidR="00000000" w:rsidRPr="00000000">
              <w:rPr>
                <w:rFonts w:ascii="Montserrat" w:cs="Montserrat" w:eastAsia="Montserrat" w:hAnsi="Montserrat"/>
                <w:b w:val="1"/>
                <w:color w:val="ffffff"/>
                <w:sz w:val="48"/>
                <w:szCs w:val="48"/>
                <w:rtl w:val="0"/>
              </w:rPr>
              <w:t xml:space="preserve">YEAR AT A GLANCE</w:t>
            </w:r>
          </w:p>
        </w:tc>
      </w:tr>
      <w:tr>
        <w:trPr>
          <w:cantSplit w:val="0"/>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Avenir" w:cs="Avenir" w:eastAsia="Avenir" w:hAnsi="Aveni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8cb369"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Unit 9</w:t>
            </w:r>
          </w:p>
        </w:tc>
        <w:tc>
          <w:tcPr>
            <w:tcBorders>
              <w:top w:color="ffffff" w:space="0" w:sz="18" w:val="single"/>
              <w:left w:color="ffffff" w:space="0" w:sz="18" w:val="single"/>
              <w:bottom w:color="ffffff" w:space="0" w:sz="18" w:val="single"/>
              <w:right w:color="ffffff" w:space="0" w:sz="18" w:val="single"/>
            </w:tcBorders>
            <w:shd w:fill="3abfe8"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Unit 10</w:t>
            </w:r>
          </w:p>
        </w:tc>
      </w:tr>
      <w:tr>
        <w:trPr>
          <w:cantSplit w:val="0"/>
          <w:trHeight w:val="825"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Suggested Pacing</w:t>
            </w:r>
          </w:p>
        </w:tc>
        <w:tc>
          <w:tcPr>
            <w:tcBorders>
              <w:top w:color="ffffff" w:space="0" w:sz="18" w:val="single"/>
              <w:left w:color="ffffff" w:space="0" w:sz="18" w:val="single"/>
              <w:bottom w:color="ffffff" w:space="0" w:sz="18" w:val="single"/>
              <w:right w:color="ffffff" w:space="0" w:sz="18" w:val="single"/>
            </w:tcBorders>
            <w:shd w:fill="d9ead3"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rtl w:val="0"/>
              </w:rPr>
              <w:t xml:space="preserve">Dates specific to district calendar</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fe2f3"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rtl w:val="0"/>
              </w:rPr>
              <w:t xml:space="preserve">Dates specific to district calendar</w:t>
            </w:r>
            <w:r w:rsidDel="00000000" w:rsidR="00000000" w:rsidRPr="00000000">
              <w:rPr>
                <w:rtl w:val="0"/>
              </w:rPr>
            </w:r>
          </w:p>
        </w:tc>
      </w:tr>
      <w:tr>
        <w:trPr>
          <w:cantSplit w:val="0"/>
          <w:trHeight w:val="1152"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Big Idea</w:t>
            </w:r>
          </w:p>
        </w:tc>
        <w:tc>
          <w:tcPr>
            <w:tcBorders>
              <w:top w:color="ffffff" w:space="0" w:sz="18" w:val="single"/>
              <w:left w:color="ffffff" w:space="0" w:sz="18" w:val="single"/>
              <w:bottom w:color="ffffff" w:space="0" w:sz="18" w:val="single"/>
              <w:right w:color="ffffff" w:space="0" w:sz="18" w:val="single"/>
            </w:tcBorders>
            <w:shd w:fill="d9ead3"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How do things change? </w:t>
            </w:r>
          </w:p>
        </w:tc>
        <w:tc>
          <w:tcPr>
            <w:tcBorders>
              <w:top w:color="ffffff" w:space="0" w:sz="18" w:val="single"/>
              <w:left w:color="ffffff" w:space="0" w:sz="18" w:val="single"/>
              <w:bottom w:color="ffffff" w:space="0" w:sz="18" w:val="single"/>
              <w:right w:color="ffffff" w:space="0" w:sz="18" w:val="single"/>
            </w:tcBorders>
            <w:shd w:fill="cfe2f3"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How can new ideas help us? </w:t>
            </w:r>
          </w:p>
        </w:tc>
      </w:tr>
      <w:tr>
        <w:trPr>
          <w:cantSplit w:val="0"/>
          <w:trHeight w:val="1152"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Phonemics Awareness/Phonics</w:t>
            </w:r>
          </w:p>
        </w:tc>
        <w:tc>
          <w:tcPr>
            <w:tcBorders>
              <w:top w:color="ffffff" w:space="0" w:sz="18" w:val="single"/>
              <w:left w:color="ffffff" w:space="0" w:sz="18" w:val="single"/>
              <w:bottom w:color="ffffff" w:space="0" w:sz="18" w:val="single"/>
              <w:right w:color="ffffff" w:space="0" w:sz="18" w:val="single"/>
            </w:tcBorders>
            <w:shd w:fill="d9ead3"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Short vowel review, Introduction of Long Vowel Silent-e</w:t>
            </w:r>
          </w:p>
        </w:tc>
        <w:tc>
          <w:tcPr>
            <w:tcBorders>
              <w:top w:color="ffffff" w:space="0" w:sz="18" w:val="single"/>
              <w:left w:color="ffffff" w:space="0" w:sz="18" w:val="single"/>
              <w:bottom w:color="ffffff" w:space="0" w:sz="18" w:val="single"/>
              <w:right w:color="ffffff" w:space="0" w:sz="18" w:val="single"/>
            </w:tcBorders>
            <w:shd w:fill="cfe2f3"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Short vowel review, Introduction of Long Vowel Silent-e</w:t>
            </w:r>
          </w:p>
        </w:tc>
      </w:tr>
      <w:tr>
        <w:trPr>
          <w:cantSplit w:val="0"/>
          <w:trHeight w:val="1152"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Language Comprehension </w:t>
            </w:r>
          </w:p>
        </w:tc>
        <w:tc>
          <w:tcPr>
            <w:gridSpan w:val="2"/>
            <w:tcBorders>
              <w:top w:color="ffffff" w:space="0" w:sz="18" w:val="single"/>
              <w:left w:color="ffffff" w:space="0" w:sz="18" w:val="single"/>
              <w:bottom w:color="ffffff" w:space="0" w:sz="18" w:val="single"/>
              <w:right w:color="ffffff" w:space="0" w:sz="18" w:val="single"/>
            </w:tcBorders>
            <w:shd w:fill="efefef" w:val="clear"/>
            <w:vAlign w:val="center"/>
          </w:tcPr>
          <w:p w:rsidR="00000000" w:rsidDel="00000000" w:rsidP="00000000" w:rsidRDefault="00000000" w:rsidRPr="00000000" w14:paraId="0000007C">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Although standard(s) might be targeted for mastery in the scope and sequence, additional comprehension standards are embedded while teaching close reading within Wonders. Scaffolding text with repeated reading, discussion and writing is vital in order for students to comprehend text. The reading standards are like a path that guides students through multiple encounters with text, which students will respond through writing. </w:t>
            </w:r>
          </w:p>
          <w:p w:rsidR="00000000" w:rsidDel="00000000" w:rsidP="00000000" w:rsidRDefault="00000000" w:rsidRPr="00000000" w14:paraId="0000007D">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Reading Standards 1-3 take the student through “what does the text say?” </w:t>
            </w:r>
          </w:p>
          <w:p w:rsidR="00000000" w:rsidDel="00000000" w:rsidP="00000000" w:rsidRDefault="00000000" w:rsidRPr="00000000" w14:paraId="0000007E">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Reading Standards 4-6 guide the student through “how does the text work?” </w:t>
            </w:r>
          </w:p>
          <w:p w:rsidR="00000000" w:rsidDel="00000000" w:rsidP="00000000" w:rsidRDefault="00000000" w:rsidRPr="00000000" w14:paraId="0000007F">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Reading Standards 7-9 take the student through “what does the text mean?”</w:t>
            </w:r>
          </w:p>
          <w:p w:rsidR="00000000" w:rsidDel="00000000" w:rsidP="00000000" w:rsidRDefault="00000000" w:rsidRPr="00000000" w14:paraId="00000080">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Writing Standards 1-3 Opinion, Inform/Explain, Narrate responding to text. (Fisher, Frey 2014) </w:t>
            </w:r>
          </w:p>
        </w:tc>
      </w:tr>
      <w:tr>
        <w:trPr>
          <w:cantSplit w:val="0"/>
          <w:trHeight w:val="773.9999999999999"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Extended Writing Focus</w:t>
            </w:r>
          </w:p>
          <w:p w:rsidR="00000000" w:rsidDel="00000000" w:rsidP="00000000" w:rsidRDefault="00000000" w:rsidRPr="00000000" w14:paraId="00000083">
            <w:pPr>
              <w:widowControl w:val="0"/>
              <w:spacing w:line="240" w:lineRule="auto"/>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½ Day: Optional </w:t>
            </w:r>
          </w:p>
          <w:p w:rsidR="00000000" w:rsidDel="00000000" w:rsidP="00000000" w:rsidRDefault="00000000" w:rsidRPr="00000000" w14:paraId="00000084">
            <w:pPr>
              <w:widowControl w:val="0"/>
              <w:spacing w:line="240" w:lineRule="auto"/>
              <w:jc w:val="center"/>
              <w:rPr>
                <w:rFonts w:ascii="Avenir" w:cs="Avenir" w:eastAsia="Avenir" w:hAnsi="Avenir"/>
              </w:rPr>
            </w:pPr>
            <w:r w:rsidDel="00000000" w:rsidR="00000000" w:rsidRPr="00000000">
              <w:rPr>
                <w:rFonts w:ascii="Avenir" w:cs="Avenir" w:eastAsia="Avenir" w:hAnsi="Avenir"/>
                <w:sz w:val="18"/>
                <w:szCs w:val="18"/>
                <w:rtl w:val="0"/>
              </w:rPr>
              <w:t xml:space="preserve">Full Day: Required </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fff2cc" w:val="clear"/>
            <w:tcMar>
              <w:top w:w="100.0" w:type="dxa"/>
              <w:left w:w="100.0" w:type="dxa"/>
              <w:bottom w:w="100.0" w:type="dxa"/>
              <w:right w:w="100.0" w:type="dxa"/>
            </w:tcMar>
            <w:vAlign w:val="center"/>
          </w:tcPr>
          <w:p w:rsidR="00000000" w:rsidDel="00000000" w:rsidP="00000000" w:rsidRDefault="00000000" w:rsidRPr="00000000" w14:paraId="00000085">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NA </w:t>
            </w:r>
          </w:p>
        </w:tc>
        <w:tc>
          <w:tcPr>
            <w:tcBorders>
              <w:top w:color="ffffff" w:space="0" w:sz="18" w:val="single"/>
              <w:left w:color="ffffff" w:space="0" w:sz="18" w:val="single"/>
              <w:bottom w:color="ffffff" w:space="0" w:sz="18" w:val="single"/>
              <w:right w:color="ffffff" w:space="0" w:sz="18" w:val="single"/>
            </w:tcBorders>
            <w:shd w:fill="fff2cc" w:val="clear"/>
            <w:tcMar>
              <w:top w:w="100.0" w:type="dxa"/>
              <w:left w:w="100.0" w:type="dxa"/>
              <w:bottom w:w="100.0" w:type="dxa"/>
              <w:right w:w="100.0" w:type="dxa"/>
            </w:tcMar>
            <w:vAlign w:val="center"/>
          </w:tcPr>
          <w:p w:rsidR="00000000" w:rsidDel="00000000" w:rsidP="00000000" w:rsidRDefault="00000000" w:rsidRPr="00000000" w14:paraId="00000086">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Unit 10 Week 3</w:t>
            </w:r>
          </w:p>
          <w:p w:rsidR="00000000" w:rsidDel="00000000" w:rsidP="00000000" w:rsidRDefault="00000000" w:rsidRPr="00000000" w14:paraId="00000087">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Opinion</w:t>
            </w:r>
          </w:p>
        </w:tc>
      </w:tr>
      <w:tr>
        <w:trPr>
          <w:cantSplit w:val="0"/>
          <w:trHeight w:val="1350" w:hRule="atLeast"/>
          <w:tblHeader w:val="0"/>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center"/>
          </w:tcPr>
          <w:p w:rsidR="00000000" w:rsidDel="00000000" w:rsidP="00000000" w:rsidRDefault="00000000" w:rsidRPr="00000000" w14:paraId="00000088">
            <w:pPr>
              <w:widowControl w:val="0"/>
              <w:spacing w:line="240" w:lineRule="auto"/>
              <w:jc w:val="center"/>
              <w:rPr>
                <w:rFonts w:ascii="Avenir" w:cs="Avenir" w:eastAsia="Avenir" w:hAnsi="Avenir"/>
              </w:rPr>
            </w:pPr>
            <w:r w:rsidDel="00000000" w:rsidR="00000000" w:rsidRPr="00000000">
              <w:rPr>
                <w:rFonts w:ascii="Avenir" w:cs="Avenir" w:eastAsia="Avenir" w:hAnsi="Avenir"/>
                <w:rtl w:val="0"/>
              </w:rPr>
              <w:t xml:space="preserve">Key Language Use</w:t>
            </w:r>
          </w:p>
        </w:tc>
        <w:tc>
          <w:tcPr>
            <w:tcBorders>
              <w:top w:color="ffffff" w:space="0" w:sz="18" w:val="single"/>
              <w:left w:color="ffffff" w:space="0" w:sz="18" w:val="single"/>
              <w:bottom w:color="ffffff" w:space="0" w:sz="18" w:val="single"/>
              <w:right w:color="ffffff" w:space="0" w:sz="18" w:val="single"/>
            </w:tcBorders>
            <w:shd w:fill="fff2cc" w:val="clear"/>
            <w:tcMar>
              <w:top w:w="100.0" w:type="dxa"/>
              <w:left w:w="100.0" w:type="dxa"/>
              <w:bottom w:w="100.0" w:type="dxa"/>
              <w:right w:w="100.0" w:type="dxa"/>
            </w:tcMar>
            <w:vAlign w:val="center"/>
          </w:tcPr>
          <w:p w:rsidR="00000000" w:rsidDel="00000000" w:rsidP="00000000" w:rsidRDefault="00000000" w:rsidRPr="00000000" w14:paraId="00000089">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Inform/Explain</w:t>
            </w:r>
          </w:p>
        </w:tc>
        <w:tc>
          <w:tcPr>
            <w:tcBorders>
              <w:top w:color="ffffff" w:space="0" w:sz="18" w:val="single"/>
              <w:left w:color="ffffff" w:space="0" w:sz="18" w:val="single"/>
              <w:bottom w:color="ffffff" w:space="0" w:sz="18" w:val="single"/>
              <w:right w:color="ffffff" w:space="0" w:sz="18" w:val="single"/>
            </w:tcBorders>
            <w:shd w:fill="fff2cc"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line="240" w:lineRule="auto"/>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Argue</w:t>
            </w:r>
          </w:p>
        </w:tc>
      </w:tr>
    </w:tbl>
    <w:p w:rsidR="00000000" w:rsidDel="00000000" w:rsidP="00000000" w:rsidRDefault="00000000" w:rsidRPr="00000000" w14:paraId="0000008B">
      <w:pPr>
        <w:widowControl w:val="0"/>
        <w:spacing w:line="240" w:lineRule="auto"/>
        <w:rPr/>
      </w:pP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rPr>
          <w:rtl w:val="0"/>
        </w:rPr>
      </w:r>
    </w:p>
    <w:p w:rsidR="00000000" w:rsidDel="00000000" w:rsidP="00000000" w:rsidRDefault="00000000" w:rsidRPr="00000000" w14:paraId="0000008D">
      <w:pPr>
        <w:widowControl w:val="0"/>
        <w:spacing w:line="240" w:lineRule="auto"/>
        <w:rPr/>
      </w:pPr>
      <w:r w:rsidDel="00000000" w:rsidR="00000000" w:rsidRPr="00000000">
        <w:rPr>
          <w:rtl w:val="0"/>
        </w:rPr>
      </w:r>
    </w:p>
    <w:sectPr>
      <w:headerReference r:id="rId6" w:type="default"/>
      <w:pgSz w:h="12240" w:w="15840" w:orient="landscape"/>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