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0EEE" w14:textId="77777777" w:rsidR="00AD2445" w:rsidRDefault="00000000">
      <w:pPr>
        <w:rPr>
          <w:sz w:val="28"/>
          <w:szCs w:val="28"/>
        </w:rPr>
      </w:pPr>
      <w:r>
        <w:rPr>
          <w:sz w:val="28"/>
          <w:szCs w:val="28"/>
        </w:rPr>
        <w:t>Wonders 2023</w:t>
      </w:r>
    </w:p>
    <w:tbl>
      <w:tblPr>
        <w:tblStyle w:val="a"/>
        <w:tblW w:w="14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025"/>
        <w:gridCol w:w="1860"/>
        <w:gridCol w:w="1950"/>
        <w:gridCol w:w="1860"/>
        <w:gridCol w:w="1875"/>
        <w:gridCol w:w="1965"/>
      </w:tblGrid>
      <w:tr w:rsidR="00AD2445" w14:paraId="46C3C79B" w14:textId="77777777">
        <w:trPr>
          <w:trHeight w:val="680"/>
          <w:jc w:val="center"/>
        </w:trPr>
        <w:tc>
          <w:tcPr>
            <w:tcW w:w="4725" w:type="dxa"/>
            <w:gridSpan w:val="2"/>
            <w:tcBorders>
              <w:top w:val="single" w:sz="18" w:space="0" w:color="FFFFFF"/>
              <w:left w:val="single" w:sz="18" w:space="0" w:color="FFFFFF"/>
              <w:bottom w:val="single" w:sz="18" w:space="0" w:color="FFFFFF"/>
              <w:right w:val="single" w:sz="18" w:space="0" w:color="FFFFFF"/>
            </w:tcBorders>
            <w:shd w:val="clear" w:color="auto" w:fill="DB504A"/>
            <w:tcMar>
              <w:top w:w="100" w:type="dxa"/>
              <w:left w:w="100" w:type="dxa"/>
              <w:bottom w:w="100" w:type="dxa"/>
              <w:right w:w="100" w:type="dxa"/>
            </w:tcMar>
          </w:tcPr>
          <w:p w14:paraId="0B5EAF5C" w14:textId="77777777" w:rsidR="00AD2445" w:rsidRDefault="00000000">
            <w:pPr>
              <w:widowControl w:val="0"/>
              <w:spacing w:line="240" w:lineRule="auto"/>
              <w:jc w:val="center"/>
              <w:rPr>
                <w:rFonts w:ascii="Montserrat" w:eastAsia="Montserrat" w:hAnsi="Montserrat" w:cs="Montserrat"/>
                <w:b/>
                <w:color w:val="FFFFFF"/>
              </w:rPr>
            </w:pPr>
            <w:r>
              <w:rPr>
                <w:rFonts w:ascii="Montserrat" w:eastAsia="Montserrat" w:hAnsi="Montserrat" w:cs="Montserrat"/>
                <w:b/>
                <w:color w:val="FFFFFF"/>
                <w:sz w:val="48"/>
                <w:szCs w:val="48"/>
              </w:rPr>
              <w:t>5th Grade</w:t>
            </w:r>
          </w:p>
        </w:tc>
        <w:tc>
          <w:tcPr>
            <w:tcW w:w="9510" w:type="dxa"/>
            <w:gridSpan w:val="5"/>
            <w:tcBorders>
              <w:top w:val="single" w:sz="18" w:space="0" w:color="FFFFFF"/>
              <w:left w:val="single" w:sz="18" w:space="0" w:color="FFFFFF"/>
              <w:bottom w:val="single" w:sz="18" w:space="0" w:color="FFFFFF"/>
              <w:right w:val="single" w:sz="18" w:space="0" w:color="FFFFFF"/>
            </w:tcBorders>
            <w:shd w:val="clear" w:color="auto" w:fill="DB504A"/>
            <w:tcMar>
              <w:top w:w="100" w:type="dxa"/>
              <w:left w:w="100" w:type="dxa"/>
              <w:bottom w:w="100" w:type="dxa"/>
              <w:right w:w="100" w:type="dxa"/>
            </w:tcMar>
          </w:tcPr>
          <w:p w14:paraId="4A7A094E" w14:textId="77777777" w:rsidR="00AD2445" w:rsidRDefault="00000000">
            <w:pPr>
              <w:widowControl w:val="0"/>
              <w:spacing w:line="240" w:lineRule="auto"/>
              <w:jc w:val="center"/>
              <w:rPr>
                <w:rFonts w:ascii="Montserrat" w:eastAsia="Montserrat" w:hAnsi="Montserrat" w:cs="Montserrat"/>
                <w:b/>
                <w:color w:val="FFFFFF"/>
                <w:sz w:val="48"/>
                <w:szCs w:val="48"/>
              </w:rPr>
            </w:pPr>
            <w:r>
              <w:rPr>
                <w:rFonts w:ascii="Montserrat" w:eastAsia="Montserrat" w:hAnsi="Montserrat" w:cs="Montserrat"/>
                <w:b/>
                <w:color w:val="FFFFFF"/>
                <w:sz w:val="48"/>
                <w:szCs w:val="48"/>
              </w:rPr>
              <w:t>YEAR AT A GLANCE</w:t>
            </w:r>
          </w:p>
        </w:tc>
      </w:tr>
      <w:tr w:rsidR="00AD2445" w14:paraId="02FC5E26" w14:textId="77777777">
        <w:trPr>
          <w:trHeight w:val="383"/>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tcPr>
          <w:p w14:paraId="5FCD7014" w14:textId="77777777" w:rsidR="00AD2445" w:rsidRDefault="00AD2445">
            <w:pPr>
              <w:widowControl w:val="0"/>
              <w:spacing w:line="240" w:lineRule="auto"/>
              <w:jc w:val="center"/>
              <w:rPr>
                <w:rFonts w:ascii="Avenir" w:eastAsia="Avenir" w:hAnsi="Avenir" w:cs="Avenir"/>
              </w:rPr>
            </w:pPr>
          </w:p>
        </w:tc>
        <w:tc>
          <w:tcPr>
            <w:tcW w:w="2025" w:type="dxa"/>
            <w:tcBorders>
              <w:top w:val="single" w:sz="18" w:space="0" w:color="FFFFFF"/>
              <w:left w:val="single" w:sz="18" w:space="0" w:color="FFFFFF"/>
              <w:bottom w:val="single" w:sz="18" w:space="0" w:color="FFFFFF"/>
              <w:right w:val="single" w:sz="18" w:space="0" w:color="FFFFFF"/>
            </w:tcBorders>
            <w:shd w:val="clear" w:color="auto" w:fill="2791D0"/>
            <w:tcMar>
              <w:top w:w="100" w:type="dxa"/>
              <w:left w:w="100" w:type="dxa"/>
              <w:bottom w:w="100" w:type="dxa"/>
              <w:right w:w="100" w:type="dxa"/>
            </w:tcMar>
          </w:tcPr>
          <w:p w14:paraId="6751A93F" w14:textId="77777777" w:rsidR="00AD2445"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1</w:t>
            </w:r>
          </w:p>
        </w:tc>
        <w:tc>
          <w:tcPr>
            <w:tcW w:w="1860" w:type="dxa"/>
            <w:tcBorders>
              <w:top w:val="single" w:sz="18" w:space="0" w:color="FFFFFF"/>
              <w:left w:val="single" w:sz="18" w:space="0" w:color="FFFFFF"/>
              <w:bottom w:val="single" w:sz="18" w:space="0" w:color="FFFFFF"/>
              <w:right w:val="single" w:sz="18" w:space="0" w:color="FFFFFF"/>
            </w:tcBorders>
            <w:shd w:val="clear" w:color="auto" w:fill="FBAE42"/>
            <w:tcMar>
              <w:top w:w="100" w:type="dxa"/>
              <w:left w:w="100" w:type="dxa"/>
              <w:bottom w:w="100" w:type="dxa"/>
              <w:right w:w="100" w:type="dxa"/>
            </w:tcMar>
          </w:tcPr>
          <w:p w14:paraId="42D6CB00" w14:textId="77777777" w:rsidR="00AD2445"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2</w:t>
            </w:r>
          </w:p>
        </w:tc>
        <w:tc>
          <w:tcPr>
            <w:tcW w:w="1950" w:type="dxa"/>
            <w:tcBorders>
              <w:top w:val="single" w:sz="18" w:space="0" w:color="FFFFFF"/>
              <w:left w:val="single" w:sz="18" w:space="0" w:color="FFFFFF"/>
              <w:bottom w:val="single" w:sz="18" w:space="0" w:color="FFFFFF"/>
              <w:right w:val="single" w:sz="18" w:space="0" w:color="FFFFFF"/>
            </w:tcBorders>
            <w:shd w:val="clear" w:color="auto" w:fill="8CB369"/>
            <w:tcMar>
              <w:top w:w="100" w:type="dxa"/>
              <w:left w:w="100" w:type="dxa"/>
              <w:bottom w:w="100" w:type="dxa"/>
              <w:right w:w="100" w:type="dxa"/>
            </w:tcMar>
          </w:tcPr>
          <w:p w14:paraId="4536952B" w14:textId="77777777" w:rsidR="00AD2445"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3</w:t>
            </w:r>
          </w:p>
        </w:tc>
        <w:tc>
          <w:tcPr>
            <w:tcW w:w="1860" w:type="dxa"/>
            <w:tcBorders>
              <w:top w:val="single" w:sz="18" w:space="0" w:color="FFFFFF"/>
              <w:left w:val="single" w:sz="18" w:space="0" w:color="FFFFFF"/>
              <w:bottom w:val="single" w:sz="18" w:space="0" w:color="FFFFFF"/>
              <w:right w:val="single" w:sz="18" w:space="0" w:color="FFFFFF"/>
            </w:tcBorders>
            <w:shd w:val="clear" w:color="auto" w:fill="3ABFE8"/>
            <w:tcMar>
              <w:top w:w="100" w:type="dxa"/>
              <w:left w:w="100" w:type="dxa"/>
              <w:bottom w:w="100" w:type="dxa"/>
              <w:right w:w="100" w:type="dxa"/>
            </w:tcMar>
          </w:tcPr>
          <w:p w14:paraId="5A05681D" w14:textId="77777777" w:rsidR="00AD2445"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4</w:t>
            </w:r>
          </w:p>
        </w:tc>
        <w:tc>
          <w:tcPr>
            <w:tcW w:w="1875" w:type="dxa"/>
            <w:tcBorders>
              <w:top w:val="single" w:sz="18" w:space="0" w:color="FFFFFF"/>
              <w:left w:val="single" w:sz="18" w:space="0" w:color="FFFFFF"/>
              <w:bottom w:val="single" w:sz="18" w:space="0" w:color="FFFFFF"/>
              <w:right w:val="single" w:sz="18" w:space="0" w:color="FFFFFF"/>
            </w:tcBorders>
            <w:shd w:val="clear" w:color="auto" w:fill="8B95C9"/>
            <w:tcMar>
              <w:top w:w="100" w:type="dxa"/>
              <w:left w:w="100" w:type="dxa"/>
              <w:bottom w:w="100" w:type="dxa"/>
              <w:right w:w="100" w:type="dxa"/>
            </w:tcMar>
          </w:tcPr>
          <w:p w14:paraId="1C78040B" w14:textId="77777777" w:rsidR="00AD2445"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5</w:t>
            </w:r>
          </w:p>
        </w:tc>
        <w:tc>
          <w:tcPr>
            <w:tcW w:w="1965" w:type="dxa"/>
            <w:tcBorders>
              <w:top w:val="single" w:sz="18" w:space="0" w:color="FFFFFF"/>
              <w:left w:val="single" w:sz="18" w:space="0" w:color="FFFFFF"/>
              <w:bottom w:val="single" w:sz="18" w:space="0" w:color="FFFFFF"/>
              <w:right w:val="single" w:sz="18" w:space="0" w:color="FFFFFF"/>
            </w:tcBorders>
            <w:shd w:val="clear" w:color="auto" w:fill="FFE061"/>
            <w:tcMar>
              <w:top w:w="100" w:type="dxa"/>
              <w:left w:w="100" w:type="dxa"/>
              <w:bottom w:w="100" w:type="dxa"/>
              <w:right w:w="100" w:type="dxa"/>
            </w:tcMar>
          </w:tcPr>
          <w:p w14:paraId="433FD5DD" w14:textId="77777777" w:rsidR="00AD2445"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6</w:t>
            </w:r>
          </w:p>
        </w:tc>
      </w:tr>
      <w:tr w:rsidR="00AD2445" w14:paraId="5645E105" w14:textId="77777777">
        <w:trPr>
          <w:trHeight w:val="465"/>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26B489A2" w14:textId="77777777" w:rsidR="00AD2445" w:rsidRDefault="00000000">
            <w:pPr>
              <w:widowControl w:val="0"/>
              <w:spacing w:line="240" w:lineRule="auto"/>
              <w:jc w:val="center"/>
              <w:rPr>
                <w:rFonts w:ascii="Avenir" w:eastAsia="Avenir" w:hAnsi="Avenir" w:cs="Avenir"/>
              </w:rPr>
            </w:pPr>
            <w:r>
              <w:rPr>
                <w:rFonts w:ascii="Avenir" w:eastAsia="Avenir" w:hAnsi="Avenir" w:cs="Avenir"/>
              </w:rPr>
              <w:t>Suggested Pacing</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7710DDAC"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5D150DD0"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0BBFC7FF"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57683689"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540108C0"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965"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46B98591"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r>
      <w:tr w:rsidR="00AD2445" w14:paraId="4287C86E" w14:textId="77777777">
        <w:trPr>
          <w:trHeight w:val="578"/>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51D65262" w14:textId="77777777" w:rsidR="00AD2445" w:rsidRDefault="00000000">
            <w:pPr>
              <w:widowControl w:val="0"/>
              <w:spacing w:line="240" w:lineRule="auto"/>
              <w:jc w:val="center"/>
              <w:rPr>
                <w:rFonts w:ascii="Avenir" w:eastAsia="Avenir" w:hAnsi="Avenir" w:cs="Avenir"/>
              </w:rPr>
            </w:pPr>
            <w:r>
              <w:rPr>
                <w:rFonts w:ascii="Avenir" w:eastAsia="Avenir" w:hAnsi="Avenir" w:cs="Avenir"/>
              </w:rPr>
              <w:t>Phonics/Spelling</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26236414"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Closed Syllable</w:t>
            </w:r>
          </w:p>
          <w:p w14:paraId="36C30B03"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 xml:space="preserve">Long Vowel </w:t>
            </w:r>
            <w:proofErr w:type="gramStart"/>
            <w:r>
              <w:rPr>
                <w:rFonts w:ascii="Avenir" w:eastAsia="Avenir" w:hAnsi="Avenir" w:cs="Avenir"/>
                <w:sz w:val="18"/>
                <w:szCs w:val="18"/>
              </w:rPr>
              <w:t>Silent-e</w:t>
            </w:r>
            <w:proofErr w:type="gramEnd"/>
            <w:r>
              <w:rPr>
                <w:rFonts w:ascii="Avenir" w:eastAsia="Avenir" w:hAnsi="Avenir" w:cs="Avenir"/>
                <w:sz w:val="18"/>
                <w:szCs w:val="18"/>
              </w:rPr>
              <w:t xml:space="preserve"> </w:t>
            </w:r>
          </w:p>
          <w:p w14:paraId="738A5152"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Short Vowels</w:t>
            </w:r>
          </w:p>
          <w:p w14:paraId="1C5EB1D3"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Long Vowels</w:t>
            </w:r>
          </w:p>
          <w:p w14:paraId="77D8A904"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Words with /u/, /u/, /u/</w:t>
            </w:r>
          </w:p>
          <w:p w14:paraId="4DD8F597"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R- Controlled Vowels /</w:t>
            </w:r>
            <w:proofErr w:type="spellStart"/>
            <w:r>
              <w:rPr>
                <w:rFonts w:ascii="Avenir" w:eastAsia="Avenir" w:hAnsi="Avenir" w:cs="Avenir"/>
                <w:sz w:val="18"/>
                <w:szCs w:val="18"/>
              </w:rPr>
              <w:t>ar</w:t>
            </w:r>
            <w:proofErr w:type="spellEnd"/>
            <w:r>
              <w:rPr>
                <w:rFonts w:ascii="Avenir" w:eastAsia="Avenir" w:hAnsi="Avenir" w:cs="Avenir"/>
                <w:sz w:val="18"/>
                <w:szCs w:val="18"/>
              </w:rPr>
              <w:t>/, /</w:t>
            </w:r>
            <w:proofErr w:type="spellStart"/>
            <w:r>
              <w:rPr>
                <w:rFonts w:ascii="Avenir" w:eastAsia="Avenir" w:hAnsi="Avenir" w:cs="Avenir"/>
                <w:sz w:val="18"/>
                <w:szCs w:val="18"/>
              </w:rPr>
              <w:t>ar</w:t>
            </w:r>
            <w:proofErr w:type="spellEnd"/>
            <w:r>
              <w:rPr>
                <w:rFonts w:ascii="Avenir" w:eastAsia="Avenir" w:hAnsi="Avenir" w:cs="Avenir"/>
                <w:sz w:val="18"/>
                <w:szCs w:val="18"/>
              </w:rPr>
              <w:t>/, /or/</w:t>
            </w:r>
          </w:p>
          <w:p w14:paraId="17527481"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r-Controlled /</w:t>
            </w:r>
            <w:proofErr w:type="spellStart"/>
            <w:r>
              <w:rPr>
                <w:rFonts w:ascii="Avenir" w:eastAsia="Avenir" w:hAnsi="Avenir" w:cs="Avenir"/>
                <w:sz w:val="18"/>
                <w:szCs w:val="18"/>
              </w:rPr>
              <w:t>ur</w:t>
            </w:r>
            <w:proofErr w:type="spellEnd"/>
            <w:r>
              <w:rPr>
                <w:rFonts w:ascii="Avenir" w:eastAsia="Avenir" w:hAnsi="Avenir" w:cs="Avenir"/>
                <w:sz w:val="18"/>
                <w:szCs w:val="18"/>
              </w:rPr>
              <w:t>/</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514C39C0"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Open Syllable</w:t>
            </w:r>
          </w:p>
          <w:p w14:paraId="74506020"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Vowel Team Syllable</w:t>
            </w:r>
          </w:p>
          <w:p w14:paraId="4A84A29C"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Variant Vowel /o/, Diphthongs /oi/, /</w:t>
            </w:r>
            <w:proofErr w:type="spellStart"/>
            <w:r>
              <w:rPr>
                <w:rFonts w:ascii="Avenir" w:eastAsia="Avenir" w:hAnsi="Avenir" w:cs="Avenir"/>
                <w:sz w:val="18"/>
                <w:szCs w:val="18"/>
              </w:rPr>
              <w:t>ou</w:t>
            </w:r>
            <w:proofErr w:type="spellEnd"/>
            <w:r>
              <w:rPr>
                <w:rFonts w:ascii="Avenir" w:eastAsia="Avenir" w:hAnsi="Avenir" w:cs="Avenir"/>
                <w:sz w:val="18"/>
                <w:szCs w:val="18"/>
              </w:rPr>
              <w:t>/</w:t>
            </w:r>
          </w:p>
          <w:p w14:paraId="5D5F2598"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Plurals</w:t>
            </w:r>
          </w:p>
          <w:p w14:paraId="263219C7"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Inflectional Endings</w:t>
            </w:r>
          </w:p>
          <w:p w14:paraId="6B13ADCC"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Contractions</w:t>
            </w:r>
          </w:p>
          <w:p w14:paraId="6CFF6863"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Closed Syllables</w:t>
            </w:r>
          </w:p>
          <w:p w14:paraId="1D5492C8" w14:textId="77777777" w:rsidR="00AD2445" w:rsidRDefault="00AD2445">
            <w:pPr>
              <w:widowControl w:val="0"/>
              <w:spacing w:line="240" w:lineRule="auto"/>
              <w:jc w:val="center"/>
              <w:rPr>
                <w:rFonts w:ascii="Avenir" w:eastAsia="Avenir" w:hAnsi="Avenir" w:cs="Avenir"/>
                <w:sz w:val="18"/>
                <w:szCs w:val="18"/>
              </w:rPr>
            </w:pP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508FBD06"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Consonant-le</w:t>
            </w:r>
          </w:p>
          <w:p w14:paraId="35537C20"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 xml:space="preserve">Vowel r </w:t>
            </w:r>
          </w:p>
          <w:p w14:paraId="5ECDB582"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Open Syllables (V/V)</w:t>
            </w:r>
          </w:p>
          <w:p w14:paraId="14B92CEC"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Vowel Team Syllables</w:t>
            </w:r>
          </w:p>
          <w:p w14:paraId="1EFD1468"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Consonant + le Syllable</w:t>
            </w:r>
          </w:p>
          <w:p w14:paraId="6E0495DF"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r-Controlled Vowel Syllable</w:t>
            </w:r>
          </w:p>
          <w:p w14:paraId="40F67FC7" w14:textId="77777777" w:rsidR="00AD2445" w:rsidRDefault="00AD2445">
            <w:pPr>
              <w:widowControl w:val="0"/>
              <w:spacing w:line="240" w:lineRule="auto"/>
              <w:jc w:val="center"/>
              <w:rPr>
                <w:rFonts w:ascii="Avenir" w:eastAsia="Avenir" w:hAnsi="Avenir" w:cs="Avenir"/>
                <w:sz w:val="18"/>
                <w:szCs w:val="18"/>
              </w:rPr>
            </w:pP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4B90C132"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Words with final /</w:t>
            </w:r>
            <w:proofErr w:type="spellStart"/>
            <w:r>
              <w:rPr>
                <w:rFonts w:ascii="Avenir" w:eastAsia="Avenir" w:hAnsi="Avenir" w:cs="Avenir"/>
                <w:sz w:val="18"/>
                <w:szCs w:val="18"/>
              </w:rPr>
              <w:t>el</w:t>
            </w:r>
            <w:proofErr w:type="spellEnd"/>
            <w:r>
              <w:rPr>
                <w:rFonts w:ascii="Avenir" w:eastAsia="Avenir" w:hAnsi="Avenir" w:cs="Avenir"/>
                <w:sz w:val="18"/>
                <w:szCs w:val="18"/>
              </w:rPr>
              <w:t>/, /</w:t>
            </w:r>
            <w:proofErr w:type="spellStart"/>
            <w:r>
              <w:rPr>
                <w:rFonts w:ascii="Avenir" w:eastAsia="Avenir" w:hAnsi="Avenir" w:cs="Avenir"/>
                <w:sz w:val="18"/>
                <w:szCs w:val="18"/>
              </w:rPr>
              <w:t>en</w:t>
            </w:r>
            <w:proofErr w:type="spellEnd"/>
            <w:r>
              <w:rPr>
                <w:rFonts w:ascii="Avenir" w:eastAsia="Avenir" w:hAnsi="Avenir" w:cs="Avenir"/>
                <w:sz w:val="18"/>
                <w:szCs w:val="18"/>
              </w:rPr>
              <w:t>/</w:t>
            </w:r>
          </w:p>
          <w:p w14:paraId="0B507515"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Prefixes</w:t>
            </w:r>
          </w:p>
          <w:p w14:paraId="28A858E8"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Homographs</w:t>
            </w:r>
          </w:p>
          <w:p w14:paraId="5D67918C"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Words with /char/, /</w:t>
            </w:r>
            <w:proofErr w:type="spellStart"/>
            <w:r>
              <w:rPr>
                <w:rFonts w:ascii="Avenir" w:eastAsia="Avenir" w:hAnsi="Avenir" w:cs="Avenir"/>
                <w:sz w:val="18"/>
                <w:szCs w:val="18"/>
              </w:rPr>
              <w:t>zher</w:t>
            </w:r>
            <w:proofErr w:type="spellEnd"/>
            <w:r>
              <w:rPr>
                <w:rFonts w:ascii="Avenir" w:eastAsia="Avenir" w:hAnsi="Avenir" w:cs="Avenir"/>
                <w:sz w:val="18"/>
                <w:szCs w:val="18"/>
              </w:rPr>
              <w:t>/</w:t>
            </w:r>
          </w:p>
          <w:p w14:paraId="69479CD2"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Suffixes -</w:t>
            </w:r>
            <w:proofErr w:type="spellStart"/>
            <w:r>
              <w:rPr>
                <w:rFonts w:ascii="Avenir" w:eastAsia="Avenir" w:hAnsi="Avenir" w:cs="Avenir"/>
                <w:sz w:val="18"/>
                <w:szCs w:val="18"/>
              </w:rPr>
              <w:t>ance</w:t>
            </w:r>
            <w:proofErr w:type="spellEnd"/>
            <w:r>
              <w:rPr>
                <w:rFonts w:ascii="Avenir" w:eastAsia="Avenir" w:hAnsi="Avenir" w:cs="Avenir"/>
                <w:sz w:val="18"/>
                <w:szCs w:val="18"/>
              </w:rPr>
              <w:t xml:space="preserve"> &amp; -</w:t>
            </w:r>
            <w:proofErr w:type="spellStart"/>
            <w:r>
              <w:rPr>
                <w:rFonts w:ascii="Avenir" w:eastAsia="Avenir" w:hAnsi="Avenir" w:cs="Avenir"/>
                <w:sz w:val="18"/>
                <w:szCs w:val="18"/>
              </w:rPr>
              <w:t>ence</w:t>
            </w:r>
            <w:proofErr w:type="spellEnd"/>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7B5812E1"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Suffixes</w:t>
            </w:r>
          </w:p>
          <w:p w14:paraId="7CD945D5"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Homophones</w:t>
            </w:r>
          </w:p>
          <w:p w14:paraId="36590593"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Prefixes</w:t>
            </w:r>
          </w:p>
          <w:p w14:paraId="1037A25C"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Suffixes -less &amp; -ness</w:t>
            </w:r>
          </w:p>
          <w:p w14:paraId="415C619D" w14:textId="77777777" w:rsidR="00AD2445" w:rsidRDefault="00000000">
            <w:pPr>
              <w:widowControl w:val="0"/>
              <w:spacing w:line="240" w:lineRule="auto"/>
              <w:jc w:val="center"/>
              <w:rPr>
                <w:rFonts w:ascii="Avenir" w:eastAsia="Avenir" w:hAnsi="Avenir" w:cs="Avenir"/>
                <w:sz w:val="18"/>
                <w:szCs w:val="18"/>
              </w:rPr>
            </w:pPr>
            <w:proofErr w:type="gramStart"/>
            <w:r>
              <w:rPr>
                <w:rFonts w:ascii="Avenir" w:eastAsia="Avenir" w:hAnsi="Avenir" w:cs="Avenir"/>
                <w:sz w:val="18"/>
                <w:szCs w:val="18"/>
              </w:rPr>
              <w:t>Suffix -ion</w:t>
            </w:r>
            <w:proofErr w:type="gramEnd"/>
          </w:p>
        </w:tc>
        <w:tc>
          <w:tcPr>
            <w:tcW w:w="1965"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101994BC"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Words with Greek roots</w:t>
            </w:r>
          </w:p>
          <w:p w14:paraId="406BBBD3"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Words with Latin Roots</w:t>
            </w:r>
          </w:p>
          <w:p w14:paraId="00116B18"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Words from Mythology</w:t>
            </w:r>
          </w:p>
          <w:p w14:paraId="3746183D" w14:textId="77777777" w:rsidR="00AD2445"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Number Prefixes un-, bi-, tri-, cent-</w:t>
            </w:r>
          </w:p>
          <w:p w14:paraId="171CAF8F" w14:textId="77777777" w:rsidR="00AD2445" w:rsidRDefault="00AD2445">
            <w:pPr>
              <w:widowControl w:val="0"/>
              <w:spacing w:line="240" w:lineRule="auto"/>
              <w:jc w:val="center"/>
              <w:rPr>
                <w:rFonts w:ascii="Avenir" w:eastAsia="Avenir" w:hAnsi="Avenir" w:cs="Avenir"/>
                <w:sz w:val="18"/>
                <w:szCs w:val="18"/>
              </w:rPr>
            </w:pPr>
          </w:p>
        </w:tc>
      </w:tr>
      <w:tr w:rsidR="00AD2445" w14:paraId="64F1A034" w14:textId="77777777">
        <w:trPr>
          <w:trHeight w:val="773"/>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6E2108BD" w14:textId="77777777" w:rsidR="00AD2445" w:rsidRDefault="00000000">
            <w:pPr>
              <w:widowControl w:val="0"/>
              <w:spacing w:line="240" w:lineRule="auto"/>
              <w:jc w:val="center"/>
              <w:rPr>
                <w:rFonts w:ascii="Avenir" w:eastAsia="Avenir" w:hAnsi="Avenir" w:cs="Avenir"/>
              </w:rPr>
            </w:pPr>
            <w:r>
              <w:rPr>
                <w:rFonts w:ascii="Avenir" w:eastAsia="Avenir" w:hAnsi="Avenir" w:cs="Avenir"/>
              </w:rPr>
              <w:t>Language Comprehension</w:t>
            </w:r>
          </w:p>
        </w:tc>
        <w:tc>
          <w:tcPr>
            <w:tcW w:w="11535" w:type="dxa"/>
            <w:gridSpan w:val="6"/>
            <w:tcBorders>
              <w:top w:val="single" w:sz="18" w:space="0" w:color="FFFFFF"/>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vAlign w:val="center"/>
          </w:tcPr>
          <w:p w14:paraId="04592044" w14:textId="77777777" w:rsidR="00AD2445"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Although standard(s) might be targeted for mastery in the scope and sequence, additional comprehension standards are embedded while teaching close reading within Wonders. Scaffolding text with repeated reading and discussion is vital </w:t>
            </w:r>
            <w:proofErr w:type="gramStart"/>
            <w:r>
              <w:rPr>
                <w:rFonts w:ascii="Avenir" w:eastAsia="Avenir" w:hAnsi="Avenir" w:cs="Avenir"/>
                <w:sz w:val="20"/>
                <w:szCs w:val="20"/>
              </w:rPr>
              <w:t>in order for</w:t>
            </w:r>
            <w:proofErr w:type="gramEnd"/>
            <w:r>
              <w:rPr>
                <w:rFonts w:ascii="Avenir" w:eastAsia="Avenir" w:hAnsi="Avenir" w:cs="Avenir"/>
                <w:sz w:val="20"/>
                <w:szCs w:val="20"/>
              </w:rPr>
              <w:t xml:space="preserve"> students to comprehend text. The reading standards are like a path that guides students through multiple encounters with text. </w:t>
            </w:r>
          </w:p>
          <w:p w14:paraId="6A378FDE" w14:textId="77777777" w:rsidR="00AD2445"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 Reading Standards 1-3 take the student through “what does the text say?” </w:t>
            </w:r>
          </w:p>
          <w:p w14:paraId="70971635" w14:textId="77777777" w:rsidR="00AD2445"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 Reading Standards 4-6 guide the student through “how does the text work?” </w:t>
            </w:r>
          </w:p>
          <w:p w14:paraId="6F3BD1EF" w14:textId="77777777" w:rsidR="00AD2445"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 Reading Standards 7-9 take the student through “what does the text mean?” (Fisher, Frey 2014) </w:t>
            </w:r>
          </w:p>
        </w:tc>
      </w:tr>
      <w:tr w:rsidR="00AD2445" w14:paraId="59C7C0EC" w14:textId="77777777">
        <w:trPr>
          <w:trHeight w:val="570"/>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249BD7C3" w14:textId="77777777" w:rsidR="00AD2445" w:rsidRDefault="00000000">
            <w:pPr>
              <w:widowControl w:val="0"/>
              <w:spacing w:line="240" w:lineRule="auto"/>
              <w:jc w:val="center"/>
              <w:rPr>
                <w:rFonts w:ascii="Avenir" w:eastAsia="Avenir" w:hAnsi="Avenir" w:cs="Avenir"/>
              </w:rPr>
            </w:pPr>
            <w:r>
              <w:rPr>
                <w:rFonts w:ascii="Avenir" w:eastAsia="Avenir" w:hAnsi="Avenir" w:cs="Avenir"/>
              </w:rPr>
              <w:t>Writing Focus</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09B12AC3"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Argue</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6CC222ED"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Informative</w:t>
            </w:r>
          </w:p>
          <w:p w14:paraId="6EC2BEC1"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Explanatory</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401CD83E"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Argue</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2DA08C2E"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Informative</w:t>
            </w:r>
          </w:p>
          <w:p w14:paraId="032E8965"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Explanatory</w:t>
            </w: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2B59A283"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Informative Explanatory</w:t>
            </w:r>
          </w:p>
        </w:tc>
        <w:tc>
          <w:tcPr>
            <w:tcW w:w="1965"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28BC45A0"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Narrative</w:t>
            </w:r>
          </w:p>
        </w:tc>
      </w:tr>
      <w:tr w:rsidR="00AD2445" w14:paraId="4A456702" w14:textId="77777777">
        <w:trPr>
          <w:trHeight w:val="585"/>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5F41079B" w14:textId="77777777" w:rsidR="00AD2445" w:rsidRDefault="00000000">
            <w:pPr>
              <w:widowControl w:val="0"/>
              <w:spacing w:line="240" w:lineRule="auto"/>
              <w:jc w:val="center"/>
              <w:rPr>
                <w:rFonts w:ascii="Avenir" w:eastAsia="Avenir" w:hAnsi="Avenir" w:cs="Avenir"/>
              </w:rPr>
            </w:pPr>
            <w:r>
              <w:rPr>
                <w:rFonts w:ascii="Avenir" w:eastAsia="Avenir" w:hAnsi="Avenir" w:cs="Avenir"/>
              </w:rPr>
              <w:t>Key Language Use</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5CCDB866"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Argue</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5B27FAE4"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Inform/Explain</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27D0F4DD"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Argue</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164E9BAD"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Inform/Explain</w:t>
            </w: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60B70A12"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Inform/Explain</w:t>
            </w:r>
          </w:p>
        </w:tc>
        <w:tc>
          <w:tcPr>
            <w:tcW w:w="1965"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690A46A7" w14:textId="77777777" w:rsidR="00AD2445"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Narrate</w:t>
            </w:r>
          </w:p>
        </w:tc>
      </w:tr>
    </w:tbl>
    <w:p w14:paraId="638D989B" w14:textId="77777777" w:rsidR="00AD2445" w:rsidRDefault="00AD2445"/>
    <w:sectPr w:rsidR="00AD2445">
      <w:headerReference w:type="default" r:id="rId6"/>
      <w:pgSz w:w="15840" w:h="12240" w:orient="landscape"/>
      <w:pgMar w:top="720" w:right="1440" w:bottom="72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4FFF" w14:textId="77777777" w:rsidR="00097A93" w:rsidRDefault="00097A93">
      <w:pPr>
        <w:spacing w:line="240" w:lineRule="auto"/>
      </w:pPr>
      <w:r>
        <w:separator/>
      </w:r>
    </w:p>
  </w:endnote>
  <w:endnote w:type="continuationSeparator" w:id="0">
    <w:p w14:paraId="3E671111" w14:textId="77777777" w:rsidR="00097A93" w:rsidRDefault="00097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5FBE" w14:textId="77777777" w:rsidR="00097A93" w:rsidRDefault="00097A93">
      <w:pPr>
        <w:spacing w:line="240" w:lineRule="auto"/>
      </w:pPr>
      <w:r>
        <w:separator/>
      </w:r>
    </w:p>
  </w:footnote>
  <w:footnote w:type="continuationSeparator" w:id="0">
    <w:p w14:paraId="06E74EC7" w14:textId="77777777" w:rsidR="00097A93" w:rsidRDefault="00097A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1AFA" w14:textId="77777777" w:rsidR="00AD2445" w:rsidRDefault="00AD24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45"/>
    <w:rsid w:val="00097A93"/>
    <w:rsid w:val="003E259F"/>
    <w:rsid w:val="00AD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0EF3E"/>
  <w15:docId w15:val="{E9BB2231-37F2-4E4E-B678-76EE2C6B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Brady Lovell</cp:lastModifiedBy>
  <cp:revision>2</cp:revision>
  <dcterms:created xsi:type="dcterms:W3CDTF">2022-08-15T00:53:00Z</dcterms:created>
  <dcterms:modified xsi:type="dcterms:W3CDTF">2022-08-15T00:53:00Z</dcterms:modified>
</cp:coreProperties>
</file>