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Wonders 2023 DLI Grade 5: 10 Day Planner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2448"/>
        <w:gridCol w:w="2448"/>
        <w:gridCol w:w="2448"/>
        <w:gridCol w:w="2448"/>
        <w:tblGridChange w:id="0">
          <w:tblGrid>
            <w:gridCol w:w="2448"/>
            <w:gridCol w:w="2448"/>
            <w:gridCol w:w="2448"/>
            <w:gridCol w:w="2448"/>
            <w:gridCol w:w="2448"/>
          </w:tblGrid>
        </w:tblGridChange>
      </w:tblGrid>
      <w:tr>
        <w:trPr>
          <w:cantSplit w:val="0"/>
          <w:trHeight w:val="197" w:hRule="atLeast"/>
          <w:tblHeader w:val="1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Foundational Skills 10 min</w:t>
            </w:r>
          </w:p>
        </w:tc>
      </w:tr>
      <w:tr>
        <w:trPr>
          <w:cantSplit w:val="0"/>
          <w:trHeight w:val="204.42000000000002" w:hRule="atLeast"/>
          <w:tblHeader w:val="1"/>
        </w:trPr>
        <w:tc>
          <w:tcPr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83.333330154419" w:hRule="atLeast"/>
          <w:tblHeader w:val="1"/>
        </w:trPr>
        <w:tc>
          <w:tcPr/>
          <w:p w:rsidR="00000000" w:rsidDel="00000000" w:rsidP="00000000" w:rsidRDefault="00000000" w:rsidRPr="00000000" w14:paraId="0000000D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6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ind w:left="36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Wonders Lesson 2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5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Highlight words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36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Read-- 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Highlighted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  <w:rtl w:val="0"/>
              </w:rPr>
              <w:t xml:space="preserve"> words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360" w:firstLine="0"/>
              <w:rPr>
                <w:rFonts w:ascii="Avenir" w:cs="Avenir" w:eastAsia="Avenir" w:hAnsi="Avenir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Read-- 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360" w:firstLine="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36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 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</w:tr>
      <w:tr>
        <w:trPr>
          <w:cantSplit w:val="1"/>
          <w:trHeight w:val="273.84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 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8.333301544189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Read- </w:t>
            </w:r>
          </w:p>
          <w:p w:rsidR="00000000" w:rsidDel="00000000" w:rsidP="00000000" w:rsidRDefault="00000000" w:rsidRPr="00000000" w14:paraId="00000024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Highlighted </w:t>
            </w:r>
          </w:p>
          <w:p w:rsidR="00000000" w:rsidDel="00000000" w:rsidP="00000000" w:rsidRDefault="00000000" w:rsidRPr="00000000" w14:paraId="00000025">
            <w:pPr>
              <w:ind w:left="630" w:firstLine="0"/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highlight w:val="white"/>
                <w:rtl w:val="0"/>
              </w:rPr>
              <w:t xml:space="preserve">words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 Shared Read - 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36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Wonders Paired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highlight w:val="white"/>
                <w:rtl w:val="0"/>
              </w:rPr>
              <w:t xml:space="preserve">or</w:t>
            </w: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Shared Read - 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6"/>
              </w:numPr>
              <w:ind w:left="630" w:hanging="360"/>
              <w:rPr>
                <w:rFonts w:ascii="Avenir" w:cs="Avenir" w:eastAsia="Avenir" w:hAnsi="Aveni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highlight w:val="white"/>
                <w:rtl w:val="0"/>
              </w:rPr>
              <w:t xml:space="preserve">Read the text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Reading and Language 45-70 minutes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Time can be flexed according to the amount of content to be covered and considering specific school schedules.</w:t>
            </w:r>
          </w:p>
        </w:tc>
      </w:tr>
      <w:tr>
        <w:trPr>
          <w:cantSplit w:val="1"/>
          <w:trHeight w:val="242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venir" w:cs="Avenir" w:eastAsia="Avenir" w:hAnsi="Avenir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5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Build 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80" w:hanging="63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(Consider these questions as part of morning meetings)</w:t>
            </w:r>
          </w:p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518" w:hanging="157.99999999999997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Interactive Read-aloud</w:t>
            </w:r>
          </w:p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Mini Lessons (Reading)</w:t>
            </w:r>
          </w:p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789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789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 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0">
            <w:pPr>
              <w:ind w:left="36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Anchor Text 1/2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55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56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venir" w:cs="Avenir" w:eastAsia="Avenir" w:hAnsi="Avenir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Optional:</w:t>
            </w:r>
          </w:p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8"/>
                <w:szCs w:val="18"/>
                <w:rtl w:val="0"/>
              </w:rPr>
              <w:t xml:space="preserve">Optional:</w:t>
            </w:r>
          </w:p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5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Author’s Craft</w:t>
            </w:r>
          </w:p>
          <w:p w:rsidR="00000000" w:rsidDel="00000000" w:rsidP="00000000" w:rsidRDefault="00000000" w:rsidRPr="00000000" w14:paraId="0000006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1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Flex time for ELA content</w:t>
            </w:r>
          </w:p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Flex time for ELA content</w:t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Writing 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Text type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 Analyze the rubric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90" w:firstLine="0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 Mini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sz w:val="18"/>
                <w:szCs w:val="18"/>
                <w:rtl w:val="0"/>
              </w:rPr>
              <w:t xml:space="preserve">Extended Writing: Analyze the Student Model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spacing w:line="276" w:lineRule="auto"/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*Activities have been prioritized to allow for the compacted DLI schedule. Gray areas are designated as flex time to either focus on </w:t>
    </w:r>
  </w:p>
  <w:p w:rsidR="00000000" w:rsidDel="00000000" w:rsidP="00000000" w:rsidRDefault="00000000" w:rsidRPr="00000000" w14:paraId="00000076">
    <w:pPr>
      <w:widowControl w:val="0"/>
      <w:spacing w:line="276" w:lineRule="auto"/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prioritized texts, to add in the optional Paired Selection, and/or to spend more time on writing activities within the ELA curriculum.</w:t>
    </w:r>
  </w:p>
  <w:p w:rsidR="00000000" w:rsidDel="00000000" w:rsidP="00000000" w:rsidRDefault="00000000" w:rsidRPr="00000000" w14:paraId="00000077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680"/>
        <w:tab w:val="right" w:pos="9360"/>
      </w:tabs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