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-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2310"/>
        <w:gridCol w:w="2895"/>
        <w:gridCol w:w="2895"/>
        <w:gridCol w:w="2805"/>
        <w:gridCol w:w="2910"/>
        <w:tblGridChange w:id="0">
          <w:tblGrid>
            <w:gridCol w:w="585"/>
            <w:gridCol w:w="2310"/>
            <w:gridCol w:w="2895"/>
            <w:gridCol w:w="2895"/>
            <w:gridCol w:w="2805"/>
            <w:gridCol w:w="2910"/>
          </w:tblGrid>
        </w:tblGridChange>
      </w:tblGrid>
      <w:tr>
        <w:trPr>
          <w:cantSplit w:val="0"/>
          <w:trHeight w:val="200" w:hRule="atLeast"/>
          <w:tblHeader w:val="1"/>
        </w:trPr>
        <w:tc>
          <w:tcPr>
            <w:gridSpan w:val="6"/>
            <w:shd w:fill="a7c4d8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Foundational Skills 30 min</w:t>
            </w:r>
          </w:p>
        </w:tc>
      </w:tr>
      <w:tr>
        <w:trPr>
          <w:cantSplit w:val="0"/>
          <w:trHeight w:val="200" w:hRule="atLeast"/>
          <w:tblHeader w:val="1"/>
        </w:trPr>
        <w:tc>
          <w:tcPr>
            <w:gridSpan w:val="2"/>
            <w:shd w:fill="53a7d8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56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Avenir" w:cs="Avenir" w:eastAsia="Avenir" w:hAnsi="Avenir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1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Decodable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4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rFonts w:ascii="Avenir" w:cs="Avenir" w:eastAsia="Avenir" w:hAnsi="Avenir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Decodable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9">
            <w:pPr>
              <w:ind w:left="0" w:firstLine="0"/>
              <w:rPr>
                <w:rFonts w:ascii="Avenir" w:cs="Avenir" w:eastAsia="Avenir" w:hAnsi="Avenir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A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Decodable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smallCaps w:val="0"/>
                <w:strike w:val="0"/>
                <w:color w:val="93c47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smallCaps w:val="0"/>
                <w:strike w:val="0"/>
                <w:color w:val="93c47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Decodable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Avenir" w:cs="Avenir" w:eastAsia="Avenir" w:hAnsi="Avenir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Decodable</w:t>
            </w:r>
          </w:p>
        </w:tc>
      </w:tr>
      <w:tr>
        <w:trPr>
          <w:cantSplit w:val="1"/>
          <w:trHeight w:val="287" w:hRule="atLeast"/>
          <w:tblHeader w:val="1"/>
        </w:trPr>
        <w:tc>
          <w:tcPr>
            <w:gridSpan w:val="6"/>
            <w:shd w:fill="a7c4d8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Reading 60-65 min</w:t>
            </w:r>
          </w:p>
        </w:tc>
      </w:tr>
      <w:tr>
        <w:trPr>
          <w:cantSplit w:val="1"/>
          <w:trHeight w:val="242" w:hRule="atLeast"/>
          <w:tblHeader w:val="1"/>
        </w:trPr>
        <w:tc>
          <w:tcPr>
            <w:gridSpan w:val="2"/>
            <w:shd w:fill="53a7d8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Montserrat" w:cs="Montserrat" w:eastAsia="Montserrat" w:hAnsi="Montserrat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         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5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Introduce the Concept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Build Knowledge</w:t>
            </w:r>
          </w:p>
          <w:p w:rsidR="00000000" w:rsidDel="00000000" w:rsidP="00000000" w:rsidRDefault="00000000" w:rsidRPr="00000000" w14:paraId="0000003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Listening Comprehension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ind w:left="518" w:hanging="157.99999999999997"/>
              <w:rPr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Big Book</w:t>
            </w:r>
          </w:p>
          <w:p w:rsidR="00000000" w:rsidDel="00000000" w:rsidP="00000000" w:rsidRDefault="00000000" w:rsidRPr="00000000" w14:paraId="0000003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4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3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Build the Concept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8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Oral Language</w:t>
            </w:r>
          </w:p>
          <w:p w:rsidR="00000000" w:rsidDel="00000000" w:rsidP="00000000" w:rsidRDefault="00000000" w:rsidRPr="00000000" w14:paraId="0000003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Listening Comprehension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2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Interactive Read Aloud</w:t>
            </w:r>
          </w:p>
          <w:p w:rsidR="00000000" w:rsidDel="00000000" w:rsidP="00000000" w:rsidRDefault="00000000" w:rsidRPr="00000000" w14:paraId="0000003B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7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Reread</w:t>
            </w:r>
          </w:p>
          <w:p w:rsidR="00000000" w:rsidDel="00000000" w:rsidP="00000000" w:rsidRDefault="00000000" w:rsidRPr="00000000" w14:paraId="0000003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Build the Concept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Oral Language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4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Listening Comprehension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0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Big Book</w:t>
            </w:r>
          </w:p>
          <w:p w:rsidR="00000000" w:rsidDel="00000000" w:rsidP="00000000" w:rsidRDefault="00000000" w:rsidRPr="00000000" w14:paraId="0000004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Anchor Text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Reread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Extend the Concept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9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Oral Language</w:t>
            </w:r>
          </w:p>
          <w:p w:rsidR="00000000" w:rsidDel="00000000" w:rsidP="00000000" w:rsidRDefault="00000000" w:rsidRPr="00000000" w14:paraId="0000004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Paired Selection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3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3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Re-read</w:t>
            </w:r>
          </w:p>
          <w:p w:rsidR="00000000" w:rsidDel="00000000" w:rsidP="00000000" w:rsidRDefault="00000000" w:rsidRPr="00000000" w14:paraId="0000004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Research and Inquiry</w:t>
            </w:r>
          </w:p>
          <w:p w:rsidR="00000000" w:rsidDel="00000000" w:rsidP="00000000" w:rsidRDefault="00000000" w:rsidRPr="00000000" w14:paraId="0000004C">
            <w:pPr>
              <w:ind w:left="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Integrating Ideas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Make Connections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3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Show Your Knowledge</w:t>
            </w:r>
          </w:p>
        </w:tc>
      </w:tr>
      <w:tr>
        <w:trPr>
          <w:cantSplit w:val="1"/>
          <w:trHeight w:val="285" w:hRule="atLeast"/>
          <w:tblHeader w:val="1"/>
        </w:trPr>
        <w:tc>
          <w:tcPr>
            <w:gridSpan w:val="6"/>
            <w:shd w:fill="e2efd9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Montserrat ExtraBold" w:cs="Montserrat ExtraBold" w:eastAsia="Montserrat ExtraBold" w:hAnsi="Montserrat ExtraBold"/>
                <w:sz w:val="20"/>
                <w:szCs w:val="20"/>
              </w:rPr>
            </w:pPr>
            <w:r w:rsidDel="00000000" w:rsidR="00000000" w:rsidRPr="00000000">
              <w:rPr>
                <w:rFonts w:ascii="Montserrat ExtraBold" w:cs="Montserrat ExtraBold" w:eastAsia="Montserrat ExtraBold" w:hAnsi="Montserrat ExtraBold"/>
                <w:sz w:val="20"/>
                <w:szCs w:val="20"/>
                <w:rtl w:val="0"/>
              </w:rPr>
              <w:t xml:space="preserve">Daily Writing 20 min</w:t>
            </w:r>
          </w:p>
        </w:tc>
      </w:tr>
      <w:tr>
        <w:trPr>
          <w:cantSplit w:val="1"/>
          <w:trHeight w:val="270" w:hRule="atLeast"/>
          <w:tblHeader w:val="1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Montserrat" w:cs="Montserrat" w:eastAsia="Montserrat" w:hAnsi="Montserrat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8">
            <w:pPr>
              <w:rPr>
                <w:rFonts w:ascii="Montserrat" w:cs="Montserrat" w:eastAsia="Montserrat" w:hAnsi="Montserrat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              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Montserrat" w:cs="Montserrat" w:eastAsia="Montserrat" w:hAnsi="Montserrat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Montserrat" w:cs="Montserrat" w:eastAsia="Montserrat" w:hAnsi="Montserrat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5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Modeled Writing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8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Write about the Shared Read</w:t>
            </w:r>
          </w:p>
          <w:p w:rsidR="00000000" w:rsidDel="00000000" w:rsidP="00000000" w:rsidRDefault="00000000" w:rsidRPr="00000000" w14:paraId="0000005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Grammar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Interactive Writing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5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Write about the Shared Read</w:t>
            </w:r>
          </w:p>
          <w:p w:rsidR="00000000" w:rsidDel="00000000" w:rsidP="00000000" w:rsidRDefault="00000000" w:rsidRPr="00000000" w14:paraId="0000006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Grammar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Independent Writing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6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Write about the Anchor Text</w:t>
            </w:r>
          </w:p>
          <w:p w:rsidR="00000000" w:rsidDel="00000000" w:rsidP="00000000" w:rsidRDefault="00000000" w:rsidRPr="00000000" w14:paraId="0000006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6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Mechanics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Independent Writing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1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Write about the Anchor Text</w:t>
            </w:r>
          </w:p>
          <w:p w:rsidR="00000000" w:rsidDel="00000000" w:rsidP="00000000" w:rsidRDefault="00000000" w:rsidRPr="00000000" w14:paraId="0000006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6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Mechanics</w:t>
            </w:r>
          </w:p>
          <w:p w:rsidR="00000000" w:rsidDel="00000000" w:rsidP="00000000" w:rsidRDefault="00000000" w:rsidRPr="00000000" w14:paraId="0000006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Self Selected Writing</w:t>
            </w:r>
          </w:p>
          <w:p w:rsidR="00000000" w:rsidDel="00000000" w:rsidP="00000000" w:rsidRDefault="00000000" w:rsidRPr="00000000" w14:paraId="0000006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6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Mechanics</w:t>
            </w:r>
          </w:p>
          <w:p w:rsidR="00000000" w:rsidDel="00000000" w:rsidP="00000000" w:rsidRDefault="00000000" w:rsidRPr="00000000" w14:paraId="0000006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.79999999999995" w:hRule="atLeast"/>
          <w:tblHeader w:val="1"/>
        </w:trPr>
        <w:tc>
          <w:tcPr>
            <w:gridSpan w:val="6"/>
            <w:shd w:fill="6aa84f" w:val="clear"/>
          </w:tcPr>
          <w:p w:rsidR="00000000" w:rsidDel="00000000" w:rsidP="00000000" w:rsidRDefault="00000000" w:rsidRPr="00000000" w14:paraId="00000070">
            <w:pPr>
              <w:ind w:firstLine="0"/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Montserrat ExtraBold" w:cs="Montserrat ExtraBold" w:eastAsia="Montserrat ExtraBold" w:hAnsi="Montserrat ExtraBold"/>
                <w:sz w:val="20"/>
                <w:szCs w:val="20"/>
                <w:rtl w:val="0"/>
              </w:rPr>
              <w:t xml:space="preserve">Extended Writing only in 2 out of the 6 weeks of the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5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7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4"/>
              </w:numPr>
              <w:ind w:left="720" w:hanging="63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Expert and Student Models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5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Plan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Draft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1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Draft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Draft</w:t>
            </w:r>
          </w:p>
        </w:tc>
      </w:tr>
      <w:tr>
        <w:trPr>
          <w:cantSplit w:val="1"/>
          <w:trHeight w:val="705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6"/>
              </w:numPr>
              <w:ind w:left="720" w:hanging="45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Revise and Edit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2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Revise and Edit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0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Revise and Edit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Publish, Present and Evaluate</w:t>
            </w:r>
          </w:p>
          <w:p w:rsidR="00000000" w:rsidDel="00000000" w:rsidP="00000000" w:rsidRDefault="00000000" w:rsidRPr="00000000" w14:paraId="0000008A">
            <w:pPr>
              <w:ind w:left="720" w:firstLine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0"/>
              </w:numPr>
              <w:ind w:left="720" w:hanging="36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Publish, Present and Evaluate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Montserrat ExtraBold">
    <w:embedBold w:fontKey="{00000000-0000-0000-0000-000000000000}" r:id="rId5" w:subsetted="0"/>
    <w:embedBoldItalic w:fontKey="{00000000-0000-0000-0000-000000000000}" r:id="rId6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>
        <w:rFonts w:ascii="Avenir" w:cs="Avenir" w:eastAsia="Avenir" w:hAnsi="Avenir"/>
        <w:sz w:val="20"/>
        <w:szCs w:val="20"/>
      </w:rPr>
    </w:pPr>
    <w:r w:rsidDel="00000000" w:rsidR="00000000" w:rsidRPr="00000000">
      <w:rPr>
        <w:rFonts w:ascii="Avenir" w:cs="Avenir" w:eastAsia="Avenir" w:hAnsi="Avenir"/>
        <w:sz w:val="20"/>
        <w:szCs w:val="20"/>
        <w:rtl w:val="0"/>
      </w:rPr>
      <w:t xml:space="preserve">© Canyons School District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tabs>
        <w:tab w:val="center" w:pos="4680"/>
        <w:tab w:val="right" w:pos="9360"/>
      </w:tabs>
      <w:jc w:val="center"/>
      <w:rPr/>
    </w:pPr>
    <w:r w:rsidDel="00000000" w:rsidR="00000000" w:rsidRPr="00000000">
      <w:rPr>
        <w:rFonts w:ascii="Montserrat" w:cs="Montserrat" w:eastAsia="Montserrat" w:hAnsi="Montserrat"/>
        <w:b w:val="1"/>
        <w:sz w:val="28"/>
        <w:szCs w:val="28"/>
        <w:rtl w:val="0"/>
      </w:rPr>
      <w:t xml:space="preserve">Wonders 2023 DLI Grade 1: 5 Day Planner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45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ExtraBold-bold.ttf"/><Relationship Id="rId6" Type="http://schemas.openxmlformats.org/officeDocument/2006/relationships/font" Target="fonts/Montserrat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